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0F0D5" w14:textId="79F334EF" w:rsidR="00922FAB" w:rsidRPr="005F30DD" w:rsidRDefault="00947F04" w:rsidP="00EE711A">
      <w:pPr>
        <w:pStyle w:val="Tytu"/>
        <w:spacing w:before="4800" w:after="5160"/>
        <w:rPr>
          <w:szCs w:val="52"/>
        </w:rPr>
      </w:pPr>
      <w:bookmarkStart w:id="0" w:name="_GoBack"/>
      <w:bookmarkEnd w:id="0"/>
      <w:r w:rsidRPr="005F30DD">
        <w:rPr>
          <w:szCs w:val="52"/>
        </w:rPr>
        <w:t>Analiza przewozów</w:t>
      </w:r>
      <w:r w:rsidRPr="005F30DD">
        <w:rPr>
          <w:szCs w:val="52"/>
        </w:rPr>
        <w:br/>
        <w:t xml:space="preserve">w polskich portach lotniczych </w:t>
      </w:r>
      <w:r w:rsidRPr="005F30DD">
        <w:rPr>
          <w:szCs w:val="52"/>
        </w:rPr>
        <w:br/>
        <w:t>w</w:t>
      </w:r>
      <w:r w:rsidR="00FA41E2">
        <w:rPr>
          <w:szCs w:val="52"/>
        </w:rPr>
        <w:t xml:space="preserve"> </w:t>
      </w:r>
      <w:r w:rsidR="0002163F">
        <w:rPr>
          <w:szCs w:val="52"/>
        </w:rPr>
        <w:t>pierwszej połowie</w:t>
      </w:r>
      <w:r w:rsidR="00FA41E2">
        <w:rPr>
          <w:szCs w:val="52"/>
        </w:rPr>
        <w:t xml:space="preserve"> 2025</w:t>
      </w:r>
      <w:r w:rsidRPr="005F30DD">
        <w:rPr>
          <w:szCs w:val="52"/>
        </w:rPr>
        <w:t xml:space="preserve"> roku</w:t>
      </w:r>
    </w:p>
    <w:p w14:paraId="6E6409E5" w14:textId="5C3E36A0" w:rsidR="005B61EB" w:rsidRPr="005B61EB" w:rsidRDefault="005B61EB" w:rsidP="005B61EB"/>
    <w:p w14:paraId="0EDC9366" w14:textId="77777777" w:rsidR="00527143" w:rsidRPr="00E401F0" w:rsidRDefault="00527143" w:rsidP="00EF21A5">
      <w:pPr>
        <w:pStyle w:val="Podtytu"/>
      </w:pPr>
      <w:r w:rsidRPr="00E401F0">
        <w:t>Opracowanie: Departament Rynku Transportu Lotniczego</w:t>
      </w:r>
    </w:p>
    <w:p w14:paraId="3F0F779D" w14:textId="6CFDF831" w:rsidR="0006530F" w:rsidRPr="00E401F0" w:rsidRDefault="00527143" w:rsidP="00EF21A5">
      <w:pPr>
        <w:pStyle w:val="Podtytu"/>
        <w:rPr>
          <w:sz w:val="32"/>
        </w:rPr>
      </w:pPr>
      <w:r w:rsidRPr="00E401F0">
        <w:t xml:space="preserve">Warszawa, </w:t>
      </w:r>
      <w:r w:rsidR="00CD0689">
        <w:t>styczeń</w:t>
      </w:r>
      <w:r w:rsidR="00577736">
        <w:t xml:space="preserve"> 202</w:t>
      </w:r>
      <w:r w:rsidR="00CD0689">
        <w:t>6</w:t>
      </w:r>
      <w:r w:rsidRPr="00E401F0">
        <w:t xml:space="preserve"> r.</w:t>
      </w:r>
      <w:r w:rsidR="0006530F" w:rsidRPr="00E401F0">
        <w:rPr>
          <w:sz w:val="32"/>
        </w:rPr>
        <w:br w:type="page"/>
      </w:r>
    </w:p>
    <w:bookmarkStart w:id="1" w:name="_Toc153874654" w:displacedByCustomXml="next"/>
    <w:bookmarkStart w:id="2" w:name="_Toc178665035" w:displacedByCustomXml="next"/>
    <w:sdt>
      <w:sdtPr>
        <w:rPr>
          <w:rFonts w:eastAsiaTheme="minorHAnsi" w:cstheme="minorBidi"/>
          <w:b w:val="0"/>
          <w:bCs w:val="0"/>
          <w:color w:val="auto"/>
          <w:kern w:val="0"/>
          <w:sz w:val="22"/>
          <w:szCs w:val="22"/>
          <w:lang w:eastAsia="en-US"/>
        </w:rPr>
        <w:id w:val="1530982073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4F6C876B" w14:textId="77777777" w:rsidR="00EF21A5" w:rsidRPr="00E401F0" w:rsidRDefault="00EF21A5" w:rsidP="005A6434">
          <w:pPr>
            <w:pStyle w:val="Nagwek1"/>
            <w:numPr>
              <w:ilvl w:val="0"/>
              <w:numId w:val="0"/>
            </w:numPr>
            <w:ind w:left="720" w:hanging="360"/>
          </w:pPr>
          <w:r w:rsidRPr="00E401F0">
            <w:t>SPIS TREŚCI</w:t>
          </w:r>
          <w:bookmarkEnd w:id="2"/>
          <w:bookmarkEnd w:id="1"/>
        </w:p>
        <w:p w14:paraId="1193F55B" w14:textId="77777777" w:rsidR="00EA13B7" w:rsidRDefault="00EF21A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r w:rsidRPr="00E401F0">
            <w:rPr>
              <w:rFonts w:cstheme="minorHAnsi"/>
              <w:szCs w:val="24"/>
            </w:rPr>
            <w:fldChar w:fldCharType="begin"/>
          </w:r>
          <w:r w:rsidRPr="00E401F0">
            <w:rPr>
              <w:rFonts w:cstheme="minorHAnsi"/>
              <w:szCs w:val="24"/>
            </w:rPr>
            <w:instrText xml:space="preserve"> TOC \o "1-3" \h \z \u </w:instrText>
          </w:r>
          <w:r w:rsidRPr="00E401F0">
            <w:rPr>
              <w:rFonts w:cstheme="minorHAnsi"/>
              <w:szCs w:val="24"/>
            </w:rPr>
            <w:fldChar w:fldCharType="separate"/>
          </w:r>
          <w:hyperlink w:anchor="_Toc178665035" w:history="1">
            <w:r w:rsidR="00EA13B7" w:rsidRPr="0022644B">
              <w:rPr>
                <w:rStyle w:val="Hipercze"/>
                <w:noProof/>
              </w:rPr>
              <w:t>SPIS TREŚCI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_Toc178665035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2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74386398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36" w:history="1">
            <w:r w:rsidR="00EA13B7" w:rsidRPr="0022644B">
              <w:rPr>
                <w:rStyle w:val="Hipercze"/>
                <w:noProof/>
              </w:rPr>
              <w:t>1.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Słowniczek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_Toc178665036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3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3251BF9F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37" w:history="1">
            <w:r w:rsidR="00EA13B7" w:rsidRPr="0022644B">
              <w:rPr>
                <w:rStyle w:val="Hipercze"/>
                <w:noProof/>
              </w:rPr>
              <w:t>2.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Podsumowanie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_Toc178665037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4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053104EA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38" w:history="1">
            <w:r w:rsidR="00EA13B7" w:rsidRPr="0022644B">
              <w:rPr>
                <w:rStyle w:val="Hipercze"/>
                <w:noProof/>
              </w:rPr>
              <w:t>3.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Przewozy pasażerskie - narastająco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_Toc178665038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7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449649CB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39" w:history="1">
            <w:r w:rsidR="00EA13B7" w:rsidRPr="0022644B">
              <w:rPr>
                <w:rStyle w:val="Hipercze"/>
                <w:noProof/>
              </w:rPr>
              <w:t>4.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Przewozy pasażerskie - kwartał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_Toc178665039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7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5499C0D8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0" w:history="1">
            <w:r w:rsidR="00EA13B7" w:rsidRPr="0022644B">
              <w:rPr>
                <w:rStyle w:val="Hipercze"/>
                <w:noProof/>
              </w:rPr>
              <w:t>5.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Operacje lotnicze - narastająco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_Toc178665040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8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2987FEFA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1" w:history="1">
            <w:r w:rsidR="00EA13B7" w:rsidRPr="0022644B">
              <w:rPr>
                <w:rStyle w:val="Hipercze"/>
                <w:noProof/>
              </w:rPr>
              <w:t>6.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Operacje lotnicze - kwartał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_Toc178665041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9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614D94DC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2" w:history="1">
            <w:r w:rsidR="00EA13B7" w:rsidRPr="0022644B">
              <w:rPr>
                <w:rStyle w:val="Hipercze"/>
                <w:noProof/>
              </w:rPr>
              <w:t>7.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Przewozy cargo - narastająco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_Toc178665042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10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7854A62B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3" w:history="1">
            <w:r w:rsidR="00EA13B7" w:rsidRPr="0022644B">
              <w:rPr>
                <w:rStyle w:val="Hipercze"/>
                <w:noProof/>
              </w:rPr>
              <w:t>8.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Przewozy cargo - kwartał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_Toc178665043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11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6277AF30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4" w:history="1">
            <w:r w:rsidR="00EA13B7" w:rsidRPr="0022644B">
              <w:rPr>
                <w:rStyle w:val="Hipercze"/>
                <w:noProof/>
              </w:rPr>
              <w:t>9.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Sezonowe zmiany przewozów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_Toc178665044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12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2488B01D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5" w:history="1">
            <w:r w:rsidR="00EA13B7" w:rsidRPr="0022644B">
              <w:rPr>
                <w:rStyle w:val="Hipercze"/>
                <w:noProof/>
              </w:rPr>
              <w:t>10.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Wyniki portów lotniczych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_Toc178665045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15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2AD8FCB0" w14:textId="77777777" w:rsidR="00EA13B7" w:rsidRDefault="00152615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46" w:history="1">
            <w:r w:rsidR="00EA13B7" w:rsidRPr="0022644B">
              <w:rPr>
                <w:rStyle w:val="Hipercze"/>
                <w:noProof/>
              </w:rPr>
              <w:t>10.1.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Cały rynek – porównanie z ACI Europe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_Toc178665046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15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6162AF99" w14:textId="77777777" w:rsidR="00EA13B7" w:rsidRDefault="00152615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47" w:history="1">
            <w:r w:rsidR="00EA13B7" w:rsidRPr="0022644B">
              <w:rPr>
                <w:rStyle w:val="Hipercze"/>
                <w:noProof/>
              </w:rPr>
              <w:t>10.2.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Lotnisko Chopina w Warszawie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_Toc178665047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15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21F75B3F" w14:textId="77777777" w:rsidR="00EA13B7" w:rsidRDefault="00152615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48" w:history="1">
            <w:r w:rsidR="00EA13B7" w:rsidRPr="0022644B">
              <w:rPr>
                <w:rStyle w:val="Hipercze"/>
                <w:noProof/>
              </w:rPr>
              <w:t>10.3.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Porty lotnicze obsługujące 1-10 mln pasażerów rocznie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_Toc178665048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16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2974517C" w14:textId="77777777" w:rsidR="00EA13B7" w:rsidRDefault="00152615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49" w:history="1">
            <w:r w:rsidR="00EA13B7" w:rsidRPr="0022644B">
              <w:rPr>
                <w:rStyle w:val="Hipercze"/>
                <w:noProof/>
              </w:rPr>
              <w:t>10.4.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Porty lotnicze obsługujące mniej niż 1 mln pasażerów rocznie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_Toc178665049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18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6E66D477" w14:textId="77777777" w:rsidR="00EA13B7" w:rsidRDefault="00152615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50" w:history="1">
            <w:r w:rsidR="00EA13B7" w:rsidRPr="0022644B">
              <w:rPr>
                <w:rStyle w:val="Hipercze"/>
                <w:noProof/>
              </w:rPr>
              <w:t>10.5.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Wyniki portów lotniczych - narastająco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_Toc178665050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18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79F1D1F0" w14:textId="77777777" w:rsidR="00EA13B7" w:rsidRDefault="00152615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51" w:history="1">
            <w:r w:rsidR="00EA13B7" w:rsidRPr="0022644B">
              <w:rPr>
                <w:rStyle w:val="Hipercze"/>
                <w:noProof/>
              </w:rPr>
              <w:t>10.6.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Wyniki portów lotniczych - kwartał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_Toc178665051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20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4D0FD601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2" w:history="1">
            <w:r w:rsidR="00EA13B7" w:rsidRPr="0022644B">
              <w:rPr>
                <w:rStyle w:val="Hipercze"/>
                <w:noProof/>
              </w:rPr>
              <w:t>11.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Przewozy międzynarodowe – porównanie ACI EUROPE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_Toc178665052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22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7391BAE7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3" w:history="1">
            <w:r w:rsidR="00EA13B7" w:rsidRPr="0022644B">
              <w:rPr>
                <w:rStyle w:val="Hipercze"/>
                <w:noProof/>
              </w:rPr>
              <w:t>12.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Przewozy krajowe – porównanie z ACI EUROPE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_Toc178665053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23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38BC2841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4" w:history="1">
            <w:r w:rsidR="00EA13B7" w:rsidRPr="0022644B">
              <w:rPr>
                <w:rStyle w:val="Hipercze"/>
                <w:noProof/>
              </w:rPr>
              <w:t>13.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Przewozy regularne - narastająco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_Toc178665054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24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256114AA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5" w:history="1">
            <w:r w:rsidR="00EA13B7" w:rsidRPr="0022644B">
              <w:rPr>
                <w:rStyle w:val="Hipercze"/>
                <w:noProof/>
              </w:rPr>
              <w:t>14.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Przewozy regularne - kwartał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_Toc178665055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26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18628970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6" w:history="1">
            <w:r w:rsidR="00EA13B7" w:rsidRPr="0022644B">
              <w:rPr>
                <w:rStyle w:val="Hipercze"/>
                <w:noProof/>
              </w:rPr>
              <w:t>15.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Przewozy czarterowe - narastająco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_Toc178665056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27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173F52B3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7" w:history="1">
            <w:r w:rsidR="00EA13B7" w:rsidRPr="0022644B">
              <w:rPr>
                <w:rStyle w:val="Hipercze"/>
                <w:noProof/>
              </w:rPr>
              <w:t>16.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Przewozy czarterowe - kwartał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_Toc178665057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29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73545BAA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8" w:history="1">
            <w:r w:rsidR="00EA13B7" w:rsidRPr="0022644B">
              <w:rPr>
                <w:rStyle w:val="Hipercze"/>
                <w:noProof/>
              </w:rPr>
              <w:t>17.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Porównanie z danymi IATA – RPKM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_Toc178665058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30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064D8345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9" w:history="1">
            <w:r w:rsidR="00EA13B7" w:rsidRPr="0022644B">
              <w:rPr>
                <w:rStyle w:val="Hipercze"/>
                <w:noProof/>
              </w:rPr>
              <w:t>18.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Porównanie z danymi IATA – ASKM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_Toc178665059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32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66B1A0F1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0" w:history="1">
            <w:r w:rsidR="00EA13B7" w:rsidRPr="0022644B">
              <w:rPr>
                <w:rStyle w:val="Hipercze"/>
                <w:noProof/>
              </w:rPr>
              <w:t>19.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Porównanie z danymi IATA – LF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_Toc178665060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34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47782434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1" w:history="1">
            <w:r w:rsidR="00EA13B7" w:rsidRPr="0022644B">
              <w:rPr>
                <w:rStyle w:val="Hipercze"/>
                <w:noProof/>
              </w:rPr>
              <w:t>20.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Przewoźnicy – udział w rynku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_Toc178665061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36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6711B2E2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2" w:history="1">
            <w:r w:rsidR="00EA13B7" w:rsidRPr="0022644B">
              <w:rPr>
                <w:rStyle w:val="Hipercze"/>
                <w:noProof/>
              </w:rPr>
              <w:t>21.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Przewoźnicy – modele biznesowe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_Toc178665062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37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2D0879B2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3" w:history="1">
            <w:r w:rsidR="00EA13B7" w:rsidRPr="0022644B">
              <w:rPr>
                <w:rStyle w:val="Hipercze"/>
                <w:noProof/>
              </w:rPr>
              <w:t>22.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Porównanie przewozów LCC i sieciowych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_Toc178665063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38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3931633A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4" w:history="1">
            <w:r w:rsidR="00EA13B7" w:rsidRPr="0022644B">
              <w:rPr>
                <w:rStyle w:val="Hipercze"/>
                <w:noProof/>
              </w:rPr>
              <w:t>23.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Spis wykresów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_Toc178665064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40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36B87F70" w14:textId="77777777" w:rsidR="00EA13B7" w:rsidRDefault="0015261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5" w:history="1">
            <w:r w:rsidR="00EA13B7" w:rsidRPr="0022644B">
              <w:rPr>
                <w:rStyle w:val="Hipercze"/>
                <w:noProof/>
              </w:rPr>
              <w:t>24.</w:t>
            </w:r>
            <w:r w:rsidR="00EA13B7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22644B">
              <w:rPr>
                <w:rStyle w:val="Hipercze"/>
                <w:noProof/>
              </w:rPr>
              <w:t>Spis tabel</w:t>
            </w:r>
            <w:r w:rsidR="00EA13B7">
              <w:rPr>
                <w:noProof/>
                <w:webHidden/>
              </w:rPr>
              <w:tab/>
            </w:r>
            <w:r w:rsidR="00EA13B7">
              <w:rPr>
                <w:noProof/>
                <w:webHidden/>
              </w:rPr>
              <w:fldChar w:fldCharType="begin"/>
            </w:r>
            <w:r w:rsidR="00EA13B7">
              <w:rPr>
                <w:noProof/>
                <w:webHidden/>
              </w:rPr>
              <w:instrText xml:space="preserve"> PAGEREF _Toc178665065 \h </w:instrText>
            </w:r>
            <w:r w:rsidR="00EA13B7">
              <w:rPr>
                <w:noProof/>
                <w:webHidden/>
              </w:rPr>
            </w:r>
            <w:r w:rsidR="00EA13B7">
              <w:rPr>
                <w:noProof/>
                <w:webHidden/>
              </w:rPr>
              <w:fldChar w:fldCharType="separate"/>
            </w:r>
            <w:r w:rsidR="00EA13B7">
              <w:rPr>
                <w:noProof/>
                <w:webHidden/>
              </w:rPr>
              <w:t>41</w:t>
            </w:r>
            <w:r w:rsidR="00EA13B7">
              <w:rPr>
                <w:noProof/>
                <w:webHidden/>
              </w:rPr>
              <w:fldChar w:fldCharType="end"/>
            </w:r>
          </w:hyperlink>
        </w:p>
        <w:p w14:paraId="5EFDBD95" w14:textId="2C0DB67E" w:rsidR="00EF21A5" w:rsidRPr="00E401F0" w:rsidRDefault="00EF21A5" w:rsidP="00EA13B7">
          <w:pPr>
            <w:spacing w:after="0"/>
            <w:rPr>
              <w:b/>
              <w:bCs/>
              <w:szCs w:val="24"/>
            </w:rPr>
          </w:pPr>
          <w:r w:rsidRPr="00E401F0">
            <w:rPr>
              <w:rFonts w:cstheme="minorHAnsi"/>
              <w:b/>
              <w:bCs/>
              <w:szCs w:val="24"/>
            </w:rPr>
            <w:fldChar w:fldCharType="end"/>
          </w:r>
        </w:p>
      </w:sdtContent>
    </w:sdt>
    <w:p w14:paraId="475EEB6C" w14:textId="77777777" w:rsidR="0006530F" w:rsidRPr="00E401F0" w:rsidRDefault="0006530F" w:rsidP="00EF21A5">
      <w:r w:rsidRPr="00E401F0">
        <w:rPr>
          <w:rFonts w:eastAsia="+mn-ea" w:cstheme="minorHAnsi"/>
          <w:b/>
          <w:bCs/>
          <w:color w:val="123378"/>
          <w:kern w:val="24"/>
          <w:sz w:val="56"/>
          <w:szCs w:val="56"/>
        </w:rPr>
        <w:br w:type="page"/>
      </w:r>
    </w:p>
    <w:p w14:paraId="1F7A7676" w14:textId="77777777" w:rsidR="00527143" w:rsidRPr="00E401F0" w:rsidRDefault="00EF21A5" w:rsidP="005A6434">
      <w:pPr>
        <w:pStyle w:val="Nagwek1"/>
        <w:numPr>
          <w:ilvl w:val="0"/>
          <w:numId w:val="2"/>
        </w:numPr>
      </w:pPr>
      <w:bookmarkStart w:id="3" w:name="_Toc178665036"/>
      <w:r w:rsidRPr="00E401F0">
        <w:lastRenderedPageBreak/>
        <w:t>Słowniczek</w:t>
      </w:r>
      <w:bookmarkEnd w:id="3"/>
    </w:p>
    <w:p w14:paraId="381F59BF" w14:textId="77777777" w:rsidR="00527143" w:rsidRPr="007A7454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</w:rPr>
      </w:pPr>
      <w:r w:rsidRPr="00BA6196">
        <w:rPr>
          <w:rStyle w:val="Pogrubienie"/>
        </w:rPr>
        <w:t xml:space="preserve">LF </w:t>
      </w:r>
      <w:r w:rsidRPr="00336DE7">
        <w:rPr>
          <w:rStyle w:val="Pogrubienie"/>
          <w:b w:val="0"/>
        </w:rPr>
        <w:t>(</w:t>
      </w:r>
      <w:r w:rsidRPr="0024126A">
        <w:rPr>
          <w:rStyle w:val="Pogrubienie"/>
          <w:b w:val="0"/>
        </w:rPr>
        <w:t>Load Factor</w:t>
      </w:r>
      <w:r w:rsidRPr="00336DE7">
        <w:rPr>
          <w:rStyle w:val="Pogrubienie"/>
          <w:b w:val="0"/>
        </w:rPr>
        <w:t>)</w:t>
      </w:r>
      <w:r w:rsidRPr="007A7454">
        <w:rPr>
          <w:rFonts w:asciiTheme="minorHAnsi" w:hAnsiTheme="minorHAnsi" w:cstheme="minorHAnsi"/>
          <w:b/>
          <w:bCs/>
        </w:rPr>
        <w:t xml:space="preserve"> </w:t>
      </w:r>
      <w:r w:rsidRPr="007A7454">
        <w:rPr>
          <w:rFonts w:asciiTheme="minorHAnsi" w:hAnsiTheme="minorHAnsi" w:cstheme="minorHAnsi"/>
        </w:rPr>
        <w:t>– współczynnik wykorzystania miejsc w samolo</w:t>
      </w:r>
      <w:r w:rsidR="007A7454" w:rsidRPr="007A7454">
        <w:rPr>
          <w:rFonts w:asciiTheme="minorHAnsi" w:hAnsiTheme="minorHAnsi" w:cstheme="minorHAnsi"/>
        </w:rPr>
        <w:t>cie, liczony jako iloraz RPKM i </w:t>
      </w:r>
      <w:r w:rsidRPr="007A7454">
        <w:rPr>
          <w:rFonts w:asciiTheme="minorHAnsi" w:hAnsiTheme="minorHAnsi" w:cstheme="minorHAnsi"/>
        </w:rPr>
        <w:t>ASKM</w:t>
      </w:r>
    </w:p>
    <w:p w14:paraId="25C2B5CD" w14:textId="77777777" w:rsidR="00527143" w:rsidRPr="007A7454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</w:rPr>
      </w:pPr>
      <w:r w:rsidRPr="00BA6196">
        <w:rPr>
          <w:rStyle w:val="Pogrubienie"/>
        </w:rPr>
        <w:t xml:space="preserve">SF </w:t>
      </w:r>
      <w:r w:rsidRPr="00336DE7">
        <w:rPr>
          <w:rStyle w:val="Pogrubienie"/>
          <w:b w:val="0"/>
        </w:rPr>
        <w:t>(</w:t>
      </w:r>
      <w:r w:rsidRPr="0024126A">
        <w:rPr>
          <w:rStyle w:val="Pogrubienie"/>
          <w:b w:val="0"/>
        </w:rPr>
        <w:t>Seat Factor</w:t>
      </w:r>
      <w:r w:rsidRPr="00336DE7">
        <w:rPr>
          <w:rStyle w:val="Pogrubienie"/>
          <w:b w:val="0"/>
        </w:rPr>
        <w:t>)</w:t>
      </w:r>
      <w:r w:rsidRPr="007A7454">
        <w:rPr>
          <w:rFonts w:asciiTheme="minorHAnsi" w:hAnsiTheme="minorHAnsi" w:cstheme="minorHAnsi"/>
          <w:b/>
          <w:bCs/>
        </w:rPr>
        <w:t xml:space="preserve"> </w:t>
      </w:r>
      <w:r w:rsidRPr="007A7454">
        <w:rPr>
          <w:rFonts w:asciiTheme="minorHAnsi" w:hAnsiTheme="minorHAnsi" w:cstheme="minorHAnsi"/>
        </w:rPr>
        <w:t xml:space="preserve">– współczynnik wypełnienia miejsc, liczony jako iloraz </w:t>
      </w:r>
      <w:r w:rsidR="007A7454" w:rsidRPr="007A7454">
        <w:rPr>
          <w:rFonts w:asciiTheme="minorHAnsi" w:hAnsiTheme="minorHAnsi" w:cstheme="minorHAnsi"/>
        </w:rPr>
        <w:t>liczby pasażerów i </w:t>
      </w:r>
      <w:r w:rsidRPr="007A7454">
        <w:rPr>
          <w:rFonts w:asciiTheme="minorHAnsi" w:hAnsiTheme="minorHAnsi" w:cstheme="minorHAnsi"/>
        </w:rPr>
        <w:t>miejsc pasażerskich oferowanych na rynku</w:t>
      </w:r>
    </w:p>
    <w:p w14:paraId="39C542E7" w14:textId="77777777" w:rsidR="00527143" w:rsidRPr="00BA6196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  <w:lang w:val="en-US"/>
        </w:rPr>
      </w:pPr>
      <w:r w:rsidRPr="007A7454">
        <w:rPr>
          <w:rStyle w:val="Pogrubienie"/>
          <w:lang w:val="en-US"/>
        </w:rPr>
        <w:t xml:space="preserve">RPKM </w:t>
      </w:r>
      <w:r w:rsidRPr="00336DE7">
        <w:rPr>
          <w:rStyle w:val="Pogrubienie"/>
          <w:b w:val="0"/>
          <w:lang w:val="en-US"/>
        </w:rPr>
        <w:t>(Revenue Passenger Kilometers)</w:t>
      </w:r>
      <w:r w:rsidRPr="00BA6196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BA6196">
        <w:rPr>
          <w:rFonts w:asciiTheme="minorHAnsi" w:hAnsiTheme="minorHAnsi" w:cstheme="minorHAnsi"/>
          <w:lang w:val="en-US"/>
        </w:rPr>
        <w:t xml:space="preserve">– </w:t>
      </w:r>
      <w:r w:rsidRPr="0024126A">
        <w:rPr>
          <w:rFonts w:asciiTheme="minorHAnsi" w:hAnsiTheme="minorHAnsi" w:cstheme="minorHAnsi"/>
          <w:lang w:val="en-US"/>
        </w:rPr>
        <w:t>praca przewozowa</w:t>
      </w:r>
    </w:p>
    <w:p w14:paraId="5FA4720E" w14:textId="77777777" w:rsidR="00FE33F3" w:rsidRPr="00BA6196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  <w:lang w:val="en-US"/>
        </w:rPr>
      </w:pPr>
      <w:r w:rsidRPr="007A7454">
        <w:rPr>
          <w:rStyle w:val="Pogrubienie"/>
          <w:lang w:val="en-US"/>
        </w:rPr>
        <w:t xml:space="preserve">ASKM </w:t>
      </w:r>
      <w:r w:rsidRPr="00336DE7">
        <w:rPr>
          <w:rStyle w:val="Pogrubienie"/>
          <w:b w:val="0"/>
          <w:lang w:val="en-US"/>
        </w:rPr>
        <w:t>(Available Seat Kilometers)</w:t>
      </w:r>
      <w:r w:rsidRPr="00BA6196">
        <w:rPr>
          <w:rStyle w:val="Pogrubienie"/>
          <w:lang w:val="en-US"/>
        </w:rPr>
        <w:t xml:space="preserve"> </w:t>
      </w:r>
      <w:r w:rsidRPr="00BA6196">
        <w:rPr>
          <w:rFonts w:asciiTheme="minorHAnsi" w:hAnsiTheme="minorHAnsi" w:cstheme="minorHAnsi"/>
          <w:lang w:val="en-US"/>
        </w:rPr>
        <w:t xml:space="preserve">– </w:t>
      </w:r>
      <w:r w:rsidRPr="0024126A">
        <w:rPr>
          <w:rFonts w:asciiTheme="minorHAnsi" w:hAnsiTheme="minorHAnsi" w:cstheme="minorHAnsi"/>
          <w:lang w:val="en-US"/>
        </w:rPr>
        <w:t>oferowanie</w:t>
      </w:r>
    </w:p>
    <w:p w14:paraId="42B870A2" w14:textId="77777777" w:rsidR="00FE33F3" w:rsidRPr="0081301C" w:rsidRDefault="00FE33F3" w:rsidP="00FE33F3">
      <w:pPr>
        <w:rPr>
          <w:rFonts w:eastAsia="Times New Roman"/>
          <w:szCs w:val="24"/>
          <w:lang w:val="en-US" w:eastAsia="pl-PL"/>
        </w:rPr>
      </w:pPr>
      <w:r w:rsidRPr="0081301C">
        <w:rPr>
          <w:lang w:val="en-US"/>
        </w:rPr>
        <w:br w:type="page"/>
      </w:r>
    </w:p>
    <w:p w14:paraId="38C5BFC2" w14:textId="77777777" w:rsidR="00527143" w:rsidRPr="00E401F0" w:rsidRDefault="00EF21A5" w:rsidP="005A6434">
      <w:pPr>
        <w:pStyle w:val="Nagwek1"/>
      </w:pPr>
      <w:bookmarkStart w:id="4" w:name="_Toc178665037"/>
      <w:r w:rsidRPr="00E401F0">
        <w:lastRenderedPageBreak/>
        <w:t>Podsumowanie</w:t>
      </w:r>
      <w:bookmarkEnd w:id="4"/>
    </w:p>
    <w:p w14:paraId="155A4534" w14:textId="0FE79164" w:rsidR="00AE2C0D" w:rsidRDefault="00AE2C0D" w:rsidP="00EF21A5">
      <w:pPr>
        <w:rPr>
          <w:rStyle w:val="Pogrubienie"/>
        </w:rPr>
      </w:pPr>
      <w:r>
        <w:rPr>
          <w:rStyle w:val="Pogrubienie"/>
        </w:rPr>
        <w:t>W pierwszym półroczu 2025</w:t>
      </w:r>
      <w:r w:rsidRPr="00AE2C0D">
        <w:rPr>
          <w:rStyle w:val="Pogrubienie"/>
        </w:rPr>
        <w:t xml:space="preserve"> roku na rynku </w:t>
      </w:r>
      <w:r w:rsidR="00DA4DCC">
        <w:rPr>
          <w:rStyle w:val="Pogrubienie"/>
        </w:rPr>
        <w:t>zaobserwowano kontynuację</w:t>
      </w:r>
      <w:r w:rsidRPr="00AE2C0D">
        <w:rPr>
          <w:rStyle w:val="Pogrubienie"/>
        </w:rPr>
        <w:t xml:space="preserve"> pozytywnych trendów z poprzednich okresów. W pierwszych miesiącach sezonu letniego doszło zarówno </w:t>
      </w:r>
      <w:r>
        <w:rPr>
          <w:rStyle w:val="Pogrubienie"/>
        </w:rPr>
        <w:t xml:space="preserve">do zwiększenia liczby pasażerów jak i liczby operacji. </w:t>
      </w:r>
      <w:r w:rsidRPr="00AE2C0D">
        <w:rPr>
          <w:rStyle w:val="Pogrubienie"/>
        </w:rPr>
        <w:t>W efekcie wszystkie te wskaźniki wzrosły łącznie w całym półroczu. Wyraźnie</w:t>
      </w:r>
      <w:r>
        <w:rPr>
          <w:rStyle w:val="Pogrubienie"/>
        </w:rPr>
        <w:t xml:space="preserve"> silny wzrost przewozów widać zarówno w </w:t>
      </w:r>
      <w:r w:rsidRPr="00AE2C0D">
        <w:rPr>
          <w:rStyle w:val="Pogrubienie"/>
        </w:rPr>
        <w:t xml:space="preserve">ruchu </w:t>
      </w:r>
      <w:r>
        <w:rPr>
          <w:rStyle w:val="Pogrubienie"/>
        </w:rPr>
        <w:t>czarterowym i regularnym</w:t>
      </w:r>
      <w:r w:rsidRPr="00AE2C0D">
        <w:rPr>
          <w:rStyle w:val="Pogrubienie"/>
        </w:rPr>
        <w:t>. Znaczne wzrosty odnotowali przewoźnicy LCC w szczególności Ryanair i Wizz Air, którzy byli jednymi z głównych motorów wzrostu w polskich portach lotniczych. W</w:t>
      </w:r>
      <w:r>
        <w:rPr>
          <w:rStyle w:val="Pogrubienie"/>
        </w:rPr>
        <w:t>i</w:t>
      </w:r>
      <w:r w:rsidR="00794BA2">
        <w:rPr>
          <w:rStyle w:val="Pogrubienie"/>
        </w:rPr>
        <w:t>ę</w:t>
      </w:r>
      <w:r>
        <w:rPr>
          <w:rStyle w:val="Pogrubienie"/>
        </w:rPr>
        <w:t xml:space="preserve">kszość portów lotniczych odnotowała dodatnie dynamiki ruchu. </w:t>
      </w:r>
    </w:p>
    <w:p w14:paraId="431D998F" w14:textId="17655B27" w:rsidR="00FF43FD" w:rsidRDefault="00AE2C0D" w:rsidP="00EF21A5">
      <w:pPr>
        <w:rPr>
          <w:rStyle w:val="Pogrubienie"/>
          <w:b w:val="0"/>
        </w:rPr>
      </w:pPr>
      <w:r w:rsidRPr="00AE2C0D">
        <w:rPr>
          <w:rStyle w:val="Pogrubienie"/>
          <w:b w:val="0"/>
        </w:rPr>
        <w:t>Przewozy pa</w:t>
      </w:r>
      <w:r>
        <w:rPr>
          <w:rStyle w:val="Pogrubienie"/>
          <w:b w:val="0"/>
        </w:rPr>
        <w:t>sażerskie w pierwszym półroczu 2025</w:t>
      </w:r>
      <w:r w:rsidRPr="00AE2C0D">
        <w:rPr>
          <w:rStyle w:val="Pogrubienie"/>
          <w:b w:val="0"/>
        </w:rPr>
        <w:t xml:space="preserve"> roku w </w:t>
      </w:r>
      <w:r>
        <w:rPr>
          <w:rStyle w:val="Pogrubienie"/>
          <w:b w:val="0"/>
        </w:rPr>
        <w:t xml:space="preserve">Polsce zwiększyły się o </w:t>
      </w:r>
      <w:r w:rsidR="002743B1">
        <w:rPr>
          <w:rStyle w:val="Pogrubienie"/>
          <w:b w:val="0"/>
        </w:rPr>
        <w:t>11,8</w:t>
      </w:r>
      <w:r w:rsidRPr="00AE2C0D">
        <w:rPr>
          <w:rStyle w:val="Pogrubienie"/>
          <w:b w:val="0"/>
        </w:rPr>
        <w:t>% w porówn</w:t>
      </w:r>
      <w:r>
        <w:rPr>
          <w:rStyle w:val="Pogrubienie"/>
          <w:b w:val="0"/>
        </w:rPr>
        <w:t>aniu z analogicznym okresem 2024</w:t>
      </w:r>
      <w:r w:rsidRPr="00AE2C0D">
        <w:rPr>
          <w:rStyle w:val="Pogrubienie"/>
          <w:b w:val="0"/>
        </w:rPr>
        <w:t xml:space="preserve"> roku i o </w:t>
      </w:r>
      <w:r w:rsidR="002743B1">
        <w:rPr>
          <w:rStyle w:val="Pogrubienie"/>
          <w:b w:val="0"/>
        </w:rPr>
        <w:t>11,9</w:t>
      </w:r>
      <w:r>
        <w:rPr>
          <w:rStyle w:val="Pogrubienie"/>
          <w:b w:val="0"/>
        </w:rPr>
        <w:t>% w samym drugim kwartale. Dobrym wynikom w ruchu pasażerskim</w:t>
      </w:r>
      <w:r w:rsidRPr="00AE2C0D">
        <w:rPr>
          <w:rStyle w:val="Pogrubienie"/>
          <w:b w:val="0"/>
        </w:rPr>
        <w:t xml:space="preserve"> towarzyszyła wyso</w:t>
      </w:r>
      <w:r>
        <w:rPr>
          <w:rStyle w:val="Pogrubienie"/>
          <w:b w:val="0"/>
        </w:rPr>
        <w:t>ka dynamika liczby operacji (</w:t>
      </w:r>
      <w:r w:rsidR="002743B1">
        <w:rPr>
          <w:rStyle w:val="Pogrubienie"/>
          <w:b w:val="0"/>
        </w:rPr>
        <w:t>10,2</w:t>
      </w:r>
      <w:r w:rsidRPr="00AE2C0D">
        <w:rPr>
          <w:rStyle w:val="Pogrubienie"/>
          <w:b w:val="0"/>
        </w:rPr>
        <w:t>% w półroczu</w:t>
      </w:r>
      <w:r>
        <w:rPr>
          <w:rStyle w:val="Pogrubienie"/>
          <w:b w:val="0"/>
        </w:rPr>
        <w:t xml:space="preserve"> i +</w:t>
      </w:r>
      <w:r w:rsidR="002743B1">
        <w:rPr>
          <w:rStyle w:val="Pogrubienie"/>
          <w:b w:val="0"/>
        </w:rPr>
        <w:t>9,3</w:t>
      </w:r>
      <w:r>
        <w:rPr>
          <w:rStyle w:val="Pogrubienie"/>
          <w:b w:val="0"/>
        </w:rPr>
        <w:t>% w kwartale</w:t>
      </w:r>
      <w:r w:rsidRPr="00AE2C0D">
        <w:rPr>
          <w:rStyle w:val="Pogrubienie"/>
          <w:b w:val="0"/>
        </w:rPr>
        <w:t>). W analizowanym okresie zwiększyła się również średnia liczba pasażerów przypadających na rejs (</w:t>
      </w:r>
      <w:r>
        <w:rPr>
          <w:rStyle w:val="Pogrubienie"/>
          <w:b w:val="0"/>
        </w:rPr>
        <w:t>w ciągu 6 miesięcy – z 135 do 13</w:t>
      </w:r>
      <w:r w:rsidR="002743B1">
        <w:rPr>
          <w:rStyle w:val="Pogrubienie"/>
          <w:b w:val="0"/>
        </w:rPr>
        <w:t>9</w:t>
      </w:r>
      <w:r w:rsidRPr="00AE2C0D">
        <w:rPr>
          <w:rStyle w:val="Pogrubienie"/>
          <w:b w:val="0"/>
        </w:rPr>
        <w:t xml:space="preserve"> pasażerów</w:t>
      </w:r>
      <w:r>
        <w:rPr>
          <w:rStyle w:val="Pogrubienie"/>
          <w:b w:val="0"/>
        </w:rPr>
        <w:t xml:space="preserve">, w drugim kwartale </w:t>
      </w:r>
      <w:r w:rsidRPr="00AE2C0D">
        <w:rPr>
          <w:rStyle w:val="Pogrubienie"/>
          <w:b w:val="0"/>
        </w:rPr>
        <w:t xml:space="preserve">z </w:t>
      </w:r>
      <w:r w:rsidR="002743B1">
        <w:rPr>
          <w:rStyle w:val="Pogrubienie"/>
          <w:b w:val="0"/>
        </w:rPr>
        <w:t xml:space="preserve">140 </w:t>
      </w:r>
      <w:r>
        <w:rPr>
          <w:rStyle w:val="Pogrubienie"/>
          <w:b w:val="0"/>
        </w:rPr>
        <w:t>do 142 pasażerów</w:t>
      </w:r>
      <w:r w:rsidRPr="00AE2C0D">
        <w:rPr>
          <w:rStyle w:val="Pogrubienie"/>
          <w:b w:val="0"/>
        </w:rPr>
        <w:t>), co było efektem zwiększenia śre</w:t>
      </w:r>
      <w:r>
        <w:rPr>
          <w:rStyle w:val="Pogrubienie"/>
          <w:b w:val="0"/>
        </w:rPr>
        <w:t>dniej wielkości samolotu o ok. 3</w:t>
      </w:r>
      <w:r w:rsidRPr="00AE2C0D">
        <w:rPr>
          <w:rStyle w:val="Pogrubienie"/>
          <w:b w:val="0"/>
        </w:rPr>
        <w:t xml:space="preserve"> miejsc</w:t>
      </w:r>
      <w:r>
        <w:rPr>
          <w:rStyle w:val="Pogrubienie"/>
          <w:b w:val="0"/>
        </w:rPr>
        <w:t>a</w:t>
      </w:r>
      <w:r w:rsidRPr="00AE2C0D">
        <w:rPr>
          <w:rStyle w:val="Pogrubienie"/>
          <w:b w:val="0"/>
        </w:rPr>
        <w:t xml:space="preserve"> (tyle samo w pierwszej połowie roku</w:t>
      </w:r>
      <w:r>
        <w:rPr>
          <w:rStyle w:val="Pogrubienie"/>
          <w:b w:val="0"/>
        </w:rPr>
        <w:t xml:space="preserve"> </w:t>
      </w:r>
      <w:r w:rsidR="002743B1">
        <w:rPr>
          <w:rStyle w:val="Pogrubienie"/>
          <w:b w:val="0"/>
        </w:rPr>
        <w:t xml:space="preserve">jak i </w:t>
      </w:r>
      <w:r>
        <w:rPr>
          <w:rStyle w:val="Pogrubienie"/>
          <w:b w:val="0"/>
        </w:rPr>
        <w:t>w dr</w:t>
      </w:r>
      <w:r w:rsidR="00E70335">
        <w:rPr>
          <w:rStyle w:val="Pogrubienie"/>
          <w:b w:val="0"/>
        </w:rPr>
        <w:t>u</w:t>
      </w:r>
      <w:r>
        <w:rPr>
          <w:rStyle w:val="Pogrubienie"/>
          <w:b w:val="0"/>
        </w:rPr>
        <w:t>gim kwartale</w:t>
      </w:r>
      <w:r w:rsidRPr="00AE2C0D">
        <w:rPr>
          <w:rStyle w:val="Pogrubienie"/>
          <w:b w:val="0"/>
        </w:rPr>
        <w:t xml:space="preserve">). Współczynnik wypełnienia miejsc </w:t>
      </w:r>
      <w:r w:rsidR="006E0364">
        <w:rPr>
          <w:rStyle w:val="Pogrubienie"/>
          <w:b w:val="0"/>
        </w:rPr>
        <w:t xml:space="preserve">(LF) </w:t>
      </w:r>
      <w:r w:rsidRPr="00AE2C0D">
        <w:rPr>
          <w:rStyle w:val="Pogrubienie"/>
          <w:b w:val="0"/>
        </w:rPr>
        <w:t xml:space="preserve">w samolocie </w:t>
      </w:r>
      <w:r>
        <w:rPr>
          <w:rStyle w:val="Pogrubienie"/>
          <w:b w:val="0"/>
        </w:rPr>
        <w:t xml:space="preserve">w całym półroczu wzrósł o 0,4 </w:t>
      </w:r>
      <w:r w:rsidR="006E0364">
        <w:rPr>
          <w:rStyle w:val="Pogrubienie"/>
          <w:b w:val="0"/>
        </w:rPr>
        <w:t>punktu procentowego</w:t>
      </w:r>
      <w:r>
        <w:rPr>
          <w:rStyle w:val="Pogrubienie"/>
          <w:b w:val="0"/>
        </w:rPr>
        <w:t>, ale w samym drugim kwartale</w:t>
      </w:r>
      <w:r w:rsidR="00FF43FD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spad</w:t>
      </w:r>
      <w:r w:rsidR="00FF43FD">
        <w:rPr>
          <w:rStyle w:val="Pogrubienie"/>
          <w:b w:val="0"/>
        </w:rPr>
        <w:t xml:space="preserve">ł </w:t>
      </w:r>
      <w:r w:rsidRPr="00AE2C0D">
        <w:rPr>
          <w:rStyle w:val="Pogrubienie"/>
          <w:b w:val="0"/>
        </w:rPr>
        <w:t xml:space="preserve">jednak o 0,4 </w:t>
      </w:r>
      <w:r w:rsidR="006E0364">
        <w:rPr>
          <w:rStyle w:val="Pogrubienie"/>
          <w:b w:val="0"/>
        </w:rPr>
        <w:t>punktu procentowego,</w:t>
      </w:r>
      <w:r w:rsidRPr="00AE2C0D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 xml:space="preserve">natomiast </w:t>
      </w:r>
      <w:r w:rsidR="00FF43FD">
        <w:rPr>
          <w:rStyle w:val="Pogrubienie"/>
          <w:b w:val="0"/>
        </w:rPr>
        <w:t>w porówna</w:t>
      </w:r>
      <w:r w:rsidR="00E70335">
        <w:rPr>
          <w:rStyle w:val="Pogrubienie"/>
          <w:b w:val="0"/>
        </w:rPr>
        <w:t xml:space="preserve">niu z </w:t>
      </w:r>
      <w:r w:rsidR="006E0364">
        <w:rPr>
          <w:rStyle w:val="Pogrubienie"/>
          <w:b w:val="0"/>
        </w:rPr>
        <w:t xml:space="preserve">pierwszym </w:t>
      </w:r>
      <w:r w:rsidR="00E70335">
        <w:rPr>
          <w:rStyle w:val="Pogrubienie"/>
          <w:b w:val="0"/>
        </w:rPr>
        <w:t>półroczem 202</w:t>
      </w:r>
      <w:r w:rsidR="006E0364">
        <w:rPr>
          <w:rStyle w:val="Pogrubienie"/>
          <w:b w:val="0"/>
        </w:rPr>
        <w:t>3</w:t>
      </w:r>
      <w:r w:rsidR="00E70335">
        <w:rPr>
          <w:rStyle w:val="Pogrubienie"/>
          <w:b w:val="0"/>
        </w:rPr>
        <w:t xml:space="preserve"> r</w:t>
      </w:r>
      <w:r w:rsidR="006E0364">
        <w:rPr>
          <w:rStyle w:val="Pogrubienie"/>
          <w:b w:val="0"/>
        </w:rPr>
        <w:t>oku</w:t>
      </w:r>
      <w:r w:rsidR="00E70335">
        <w:rPr>
          <w:rStyle w:val="Pogrubienie"/>
          <w:b w:val="0"/>
        </w:rPr>
        <w:t xml:space="preserve"> pozostał</w:t>
      </w:r>
      <w:r w:rsidR="00FF43FD">
        <w:rPr>
          <w:rStyle w:val="Pogrubienie"/>
          <w:b w:val="0"/>
        </w:rPr>
        <w:t xml:space="preserve"> na tym samym poziomie, a</w:t>
      </w:r>
      <w:r w:rsidR="00AE59FD">
        <w:rPr>
          <w:rStyle w:val="Pogrubienie"/>
          <w:b w:val="0"/>
        </w:rPr>
        <w:t xml:space="preserve"> w drugim kwar</w:t>
      </w:r>
      <w:r w:rsidR="002610D2">
        <w:rPr>
          <w:rStyle w:val="Pogrubienie"/>
          <w:b w:val="0"/>
        </w:rPr>
        <w:t>t</w:t>
      </w:r>
      <w:r w:rsidR="00AE59FD">
        <w:rPr>
          <w:rStyle w:val="Pogrubienie"/>
          <w:b w:val="0"/>
        </w:rPr>
        <w:t>ale</w:t>
      </w:r>
      <w:r w:rsidR="00FF43FD">
        <w:rPr>
          <w:rStyle w:val="Pogrubienie"/>
          <w:b w:val="0"/>
        </w:rPr>
        <w:t xml:space="preserve"> spadł </w:t>
      </w:r>
      <w:r>
        <w:rPr>
          <w:rStyle w:val="Pogrubienie"/>
          <w:b w:val="0"/>
        </w:rPr>
        <w:t>o 0,</w:t>
      </w:r>
      <w:r w:rsidR="00963041">
        <w:rPr>
          <w:rStyle w:val="Pogrubienie"/>
          <w:b w:val="0"/>
        </w:rPr>
        <w:t>7</w:t>
      </w:r>
      <w:r w:rsidR="00FF43FD">
        <w:rPr>
          <w:rStyle w:val="Pogrubienie"/>
          <w:b w:val="0"/>
        </w:rPr>
        <w:t xml:space="preserve"> </w:t>
      </w:r>
      <w:r w:rsidR="006E0364">
        <w:rPr>
          <w:rStyle w:val="Pogrubienie"/>
          <w:b w:val="0"/>
        </w:rPr>
        <w:t>punktu procentowego</w:t>
      </w:r>
      <w:r w:rsidR="00FF43FD">
        <w:rPr>
          <w:rStyle w:val="Pogrubienie"/>
          <w:b w:val="0"/>
        </w:rPr>
        <w:t xml:space="preserve">. </w:t>
      </w:r>
    </w:p>
    <w:p w14:paraId="6198C93B" w14:textId="7B662AE5" w:rsidR="00AE2C0D" w:rsidRPr="00BC3D8B" w:rsidRDefault="00AE2C0D" w:rsidP="00EF21A5">
      <w:pPr>
        <w:rPr>
          <w:rStyle w:val="Pogrubienie"/>
          <w:b w:val="0"/>
        </w:rPr>
      </w:pPr>
      <w:r w:rsidRPr="00AE2C0D">
        <w:rPr>
          <w:rStyle w:val="Pogrubienie"/>
          <w:b w:val="0"/>
        </w:rPr>
        <w:t xml:space="preserve">Wyniki przewozów pasażerskich zanotowane przez polskie porty w pierwszym półroczu 2025 roku przewyższyły te zrealizowane przez europejskie porty zrzeszone w ACI Europe o 7,3 </w:t>
      </w:r>
      <w:r w:rsidR="006E0364">
        <w:rPr>
          <w:rStyle w:val="Pogrubienie"/>
          <w:b w:val="0"/>
        </w:rPr>
        <w:t>punktu procentowego</w:t>
      </w:r>
      <w:r w:rsidR="00AE59FD">
        <w:rPr>
          <w:rStyle w:val="Pogrubienie"/>
          <w:b w:val="0"/>
        </w:rPr>
        <w:t>.</w:t>
      </w:r>
      <w:r w:rsidRPr="00AE2C0D">
        <w:rPr>
          <w:rStyle w:val="Pogrubienie"/>
          <w:b w:val="0"/>
        </w:rPr>
        <w:t xml:space="preserve"> </w:t>
      </w:r>
      <w:r w:rsidR="002610D2" w:rsidRPr="002610D2">
        <w:rPr>
          <w:rStyle w:val="Pogrubienie"/>
          <w:b w:val="0"/>
        </w:rPr>
        <w:t>Analizując sytuację w poszczególnych grupach portów, Lotnisko Chopina w Warszawie i Port Lotniczy Kraków-Balice osiągnęły o 9,7 punktu procentowego lepszy wynik od portów europejskich obsługujących od 10-25 mln pasażerów rocznie. Także porty regionalne uzyskały wzrost wyższy o 2,5 punktu procentowego w porównaniu do innych portów ACI Europe obsługujących pomiędzy 1 a 10 mln pasażerów rocznie. Natomiast lotniska obsługujące mniej niż 1 mln pasażerów osiągnęły wynik o 1 punkt procentowy wyższy niż porównywalne porty lotnicze w Europie.</w:t>
      </w:r>
    </w:p>
    <w:p w14:paraId="3D6CC4CF" w14:textId="32E1560A" w:rsidR="004C0BB5" w:rsidRDefault="00AE2C0D" w:rsidP="00EF21A5">
      <w:pPr>
        <w:rPr>
          <w:rStyle w:val="Pogrubienie"/>
        </w:rPr>
      </w:pPr>
      <w:r w:rsidRPr="004C0BB5">
        <w:rPr>
          <w:rStyle w:val="Pogrubienie"/>
          <w:b w:val="0"/>
        </w:rPr>
        <w:t>Ruch międzynarodowy w Polsce zanotował w pierwszej połowie 2025 roku znacznie wyższ</w:t>
      </w:r>
      <w:r w:rsidR="004C0BB5" w:rsidRPr="004C0BB5">
        <w:rPr>
          <w:rStyle w:val="Pogrubienie"/>
          <w:b w:val="0"/>
        </w:rPr>
        <w:t>ą dynamikę ruchu (+12,4</w:t>
      </w:r>
      <w:r w:rsidRPr="004C0BB5">
        <w:rPr>
          <w:rStyle w:val="Pogrubienie"/>
          <w:b w:val="0"/>
        </w:rPr>
        <w:t>% w stosu</w:t>
      </w:r>
      <w:r w:rsidR="004C0BB5" w:rsidRPr="004C0BB5">
        <w:rPr>
          <w:rStyle w:val="Pogrubienie"/>
          <w:b w:val="0"/>
        </w:rPr>
        <w:t>nku do analogicznego okresu 2024</w:t>
      </w:r>
      <w:r w:rsidRPr="004C0BB5">
        <w:rPr>
          <w:rStyle w:val="Pogrubienie"/>
          <w:b w:val="0"/>
        </w:rPr>
        <w:t xml:space="preserve"> roku) w porównaniu do przewozów międzynarodowych zrealizowanych przez porty ACI Europe (o </w:t>
      </w:r>
      <w:r w:rsidR="004C0BB5" w:rsidRPr="004C0BB5">
        <w:rPr>
          <w:rStyle w:val="Pogrubienie"/>
          <w:b w:val="0"/>
        </w:rPr>
        <w:t>6,7</w:t>
      </w:r>
      <w:r w:rsidRPr="004C0BB5">
        <w:rPr>
          <w:rStyle w:val="Pogrubienie"/>
          <w:b w:val="0"/>
        </w:rPr>
        <w:t xml:space="preserve"> </w:t>
      </w:r>
      <w:r w:rsidR="006E0364">
        <w:rPr>
          <w:rStyle w:val="Pogrubienie"/>
          <w:b w:val="0"/>
        </w:rPr>
        <w:t>punktu procentowego</w:t>
      </w:r>
      <w:r w:rsidRPr="004C0BB5">
        <w:rPr>
          <w:rStyle w:val="Pogrubienie"/>
          <w:b w:val="0"/>
        </w:rPr>
        <w:t xml:space="preserve"> wyższą). Wyniki przewozów krajowych </w:t>
      </w:r>
      <w:r w:rsidR="004C0BB5" w:rsidRPr="004C0BB5">
        <w:rPr>
          <w:rStyle w:val="Pogrubienie"/>
          <w:b w:val="0"/>
        </w:rPr>
        <w:t xml:space="preserve">także </w:t>
      </w:r>
      <w:r w:rsidRPr="004C0BB5">
        <w:rPr>
          <w:rStyle w:val="Pogrubienie"/>
          <w:b w:val="0"/>
        </w:rPr>
        <w:t xml:space="preserve">zanotowały </w:t>
      </w:r>
      <w:r w:rsidR="004C0BB5" w:rsidRPr="004C0BB5">
        <w:rPr>
          <w:rStyle w:val="Pogrubienie"/>
          <w:b w:val="0"/>
        </w:rPr>
        <w:t>wzrost (o 3,5%), co daje wynik łącznie o 3,3</w:t>
      </w:r>
      <w:r w:rsidRPr="004C0BB5">
        <w:rPr>
          <w:rStyle w:val="Pogrubienie"/>
          <w:b w:val="0"/>
        </w:rPr>
        <w:t xml:space="preserve"> </w:t>
      </w:r>
      <w:r w:rsidR="006E0364">
        <w:rPr>
          <w:rStyle w:val="Pogrubienie"/>
          <w:b w:val="0"/>
        </w:rPr>
        <w:t>punktu procentowego</w:t>
      </w:r>
      <w:r w:rsidRPr="004C0BB5">
        <w:rPr>
          <w:rStyle w:val="Pogrubienie"/>
          <w:b w:val="0"/>
        </w:rPr>
        <w:t xml:space="preserve"> </w:t>
      </w:r>
      <w:r w:rsidR="004C0BB5" w:rsidRPr="004C0BB5">
        <w:rPr>
          <w:rStyle w:val="Pogrubienie"/>
          <w:b w:val="0"/>
        </w:rPr>
        <w:t>wyższy</w:t>
      </w:r>
      <w:r w:rsidRPr="004C0BB5">
        <w:rPr>
          <w:rStyle w:val="Pogrubienie"/>
          <w:b w:val="0"/>
        </w:rPr>
        <w:t xml:space="preserve"> niż wynik portów AC</w:t>
      </w:r>
      <w:r w:rsidR="004C0BB5" w:rsidRPr="004C0BB5">
        <w:rPr>
          <w:rStyle w:val="Pogrubienie"/>
          <w:b w:val="0"/>
        </w:rPr>
        <w:t>I.</w:t>
      </w:r>
      <w:r w:rsidR="004C0BB5">
        <w:rPr>
          <w:rStyle w:val="Pogrubienie"/>
        </w:rPr>
        <w:t xml:space="preserve"> </w:t>
      </w:r>
    </w:p>
    <w:p w14:paraId="10C71404" w14:textId="77777777" w:rsidR="004C0BB5" w:rsidRPr="004C0BB5" w:rsidRDefault="004C0BB5" w:rsidP="00EF21A5">
      <w:pPr>
        <w:rPr>
          <w:rStyle w:val="Pogrubienie"/>
          <w:b w:val="0"/>
        </w:rPr>
      </w:pPr>
      <w:r w:rsidRPr="004C0BB5">
        <w:rPr>
          <w:rStyle w:val="Pogrubienie"/>
          <w:b w:val="0"/>
        </w:rPr>
        <w:t xml:space="preserve">W samym drugim kwartale 2025 </w:t>
      </w:r>
      <w:r w:rsidR="00AE2C0D" w:rsidRPr="004C0BB5">
        <w:rPr>
          <w:rStyle w:val="Pogrubienie"/>
          <w:b w:val="0"/>
        </w:rPr>
        <w:t>roku ruch m</w:t>
      </w:r>
      <w:r w:rsidRPr="004C0BB5">
        <w:rPr>
          <w:rStyle w:val="Pogrubienie"/>
          <w:b w:val="0"/>
        </w:rPr>
        <w:t>iędzynarodowy wzrósł o 12,2</w:t>
      </w:r>
      <w:r w:rsidR="00AE2C0D" w:rsidRPr="004C0BB5">
        <w:rPr>
          <w:rStyle w:val="Pogrubienie"/>
          <w:b w:val="0"/>
        </w:rPr>
        <w:t xml:space="preserve">%, natomiast ruch krajowy </w:t>
      </w:r>
      <w:r w:rsidRPr="004C0BB5">
        <w:rPr>
          <w:rStyle w:val="Pogrubienie"/>
          <w:b w:val="0"/>
        </w:rPr>
        <w:t>o 6,4</w:t>
      </w:r>
      <w:r w:rsidR="00AE2C0D" w:rsidRPr="004C0BB5">
        <w:rPr>
          <w:rStyle w:val="Pogrubienie"/>
          <w:b w:val="0"/>
        </w:rPr>
        <w:t xml:space="preserve">%. </w:t>
      </w:r>
    </w:p>
    <w:p w14:paraId="405796A0" w14:textId="1B3CF847" w:rsidR="00371050" w:rsidRDefault="00AE2C0D" w:rsidP="00EF21A5">
      <w:pPr>
        <w:rPr>
          <w:rStyle w:val="Pogrubienie"/>
          <w:b w:val="0"/>
        </w:rPr>
      </w:pPr>
      <w:r w:rsidRPr="004C0BB5">
        <w:rPr>
          <w:rStyle w:val="Pogrubienie"/>
          <w:b w:val="0"/>
        </w:rPr>
        <w:lastRenderedPageBreak/>
        <w:t>Liderem wzrostu pod względem i</w:t>
      </w:r>
      <w:r w:rsidR="004C0BB5" w:rsidRPr="004C0BB5">
        <w:rPr>
          <w:rStyle w:val="Pogrubienie"/>
          <w:b w:val="0"/>
        </w:rPr>
        <w:t xml:space="preserve">lościowym w </w:t>
      </w:r>
      <w:r w:rsidR="001F14B9">
        <w:rPr>
          <w:rStyle w:val="Pogrubienie"/>
          <w:b w:val="0"/>
        </w:rPr>
        <w:t>całym półroczu</w:t>
      </w:r>
      <w:r w:rsidR="004C0BB5" w:rsidRPr="004C0BB5">
        <w:rPr>
          <w:rStyle w:val="Pogrubienie"/>
          <w:b w:val="0"/>
        </w:rPr>
        <w:t xml:space="preserve"> 2025</w:t>
      </w:r>
      <w:r w:rsidRPr="004C0BB5">
        <w:rPr>
          <w:rStyle w:val="Pogrubienie"/>
          <w:b w:val="0"/>
        </w:rPr>
        <w:t xml:space="preserve"> roku, a także w</w:t>
      </w:r>
      <w:r w:rsidR="001F14B9">
        <w:rPr>
          <w:rStyle w:val="Pogrubienie"/>
          <w:b w:val="0"/>
        </w:rPr>
        <w:t xml:space="preserve"> drugim kwartale</w:t>
      </w:r>
      <w:r w:rsidRPr="004C0BB5">
        <w:rPr>
          <w:rStyle w:val="Pogrubienie"/>
          <w:b w:val="0"/>
        </w:rPr>
        <w:t xml:space="preserve">, było lotnisko Chopina w Warszawie. </w:t>
      </w:r>
      <w:r w:rsidR="00371050">
        <w:rPr>
          <w:rStyle w:val="Pogrubienie"/>
          <w:b w:val="0"/>
        </w:rPr>
        <w:t xml:space="preserve">Wysokie wzrosty </w:t>
      </w:r>
      <w:r w:rsidR="00794BA2">
        <w:rPr>
          <w:rStyle w:val="Pogrubienie"/>
          <w:b w:val="0"/>
        </w:rPr>
        <w:t xml:space="preserve">w tych okresach </w:t>
      </w:r>
      <w:r w:rsidR="00371050">
        <w:rPr>
          <w:rStyle w:val="Pogrubienie"/>
          <w:b w:val="0"/>
        </w:rPr>
        <w:t xml:space="preserve">odnotowało także lotnisko Kraków-Balice. </w:t>
      </w:r>
    </w:p>
    <w:p w14:paraId="7B3A424D" w14:textId="36EA7CF2" w:rsidR="00794BA2" w:rsidRPr="00BC5682" w:rsidRDefault="00794BA2" w:rsidP="00794BA2">
      <w:pPr>
        <w:rPr>
          <w:rStyle w:val="Pogrubienie"/>
          <w:b w:val="0"/>
        </w:rPr>
      </w:pPr>
      <w:r w:rsidRPr="00794BA2">
        <w:rPr>
          <w:rStyle w:val="Pogrubienie"/>
          <w:b w:val="0"/>
        </w:rPr>
        <w:t>Największe s</w:t>
      </w:r>
      <w:r w:rsidR="00AE2C0D" w:rsidRPr="00794BA2">
        <w:rPr>
          <w:rStyle w:val="Pogrubienie"/>
          <w:b w:val="0"/>
        </w:rPr>
        <w:t xml:space="preserve">padki </w:t>
      </w:r>
      <w:r w:rsidRPr="00794BA2">
        <w:rPr>
          <w:rStyle w:val="Pogrubienie"/>
          <w:b w:val="0"/>
        </w:rPr>
        <w:t xml:space="preserve">tak w całym półroczu jak i w samym drugim kwartale </w:t>
      </w:r>
      <w:r w:rsidR="00BC3D8B">
        <w:rPr>
          <w:rStyle w:val="Pogrubienie"/>
          <w:b w:val="0"/>
        </w:rPr>
        <w:t>wystąpiły</w:t>
      </w:r>
      <w:r w:rsidR="00BC3D8B" w:rsidRPr="00794BA2">
        <w:rPr>
          <w:rStyle w:val="Pogrubienie"/>
          <w:b w:val="0"/>
        </w:rPr>
        <w:t xml:space="preserve"> </w:t>
      </w:r>
      <w:r w:rsidR="00AE2C0D" w:rsidRPr="00794BA2">
        <w:rPr>
          <w:rStyle w:val="Pogrubienie"/>
          <w:b w:val="0"/>
        </w:rPr>
        <w:t xml:space="preserve">w przypadku </w:t>
      </w:r>
      <w:r w:rsidR="00AE2C0D" w:rsidRPr="00BC5682">
        <w:rPr>
          <w:rStyle w:val="Pogrubienie"/>
          <w:b w:val="0"/>
        </w:rPr>
        <w:t xml:space="preserve">portów </w:t>
      </w:r>
      <w:r w:rsidRPr="00BC5682">
        <w:rPr>
          <w:rStyle w:val="Pogrubienie"/>
          <w:b w:val="0"/>
        </w:rPr>
        <w:t xml:space="preserve">Warszawa-Modlin oraz Warszawa-Radom. </w:t>
      </w:r>
    </w:p>
    <w:p w14:paraId="050E7D6F" w14:textId="2682E757" w:rsidR="00527143" w:rsidRPr="00E401F0" w:rsidRDefault="00662518" w:rsidP="00EF21A5">
      <w:pPr>
        <w:rPr>
          <w:rFonts w:cstheme="minorHAnsi"/>
          <w:szCs w:val="24"/>
        </w:rPr>
      </w:pPr>
      <w:r w:rsidRPr="00183B5E">
        <w:rPr>
          <w:rFonts w:cstheme="minorHAnsi"/>
          <w:szCs w:val="24"/>
        </w:rPr>
        <w:t>W przypadku cargo w pierwszej połowie 2025</w:t>
      </w:r>
      <w:r w:rsidR="00F76F1B" w:rsidRPr="00183B5E">
        <w:rPr>
          <w:rFonts w:cstheme="minorHAnsi"/>
          <w:szCs w:val="24"/>
        </w:rPr>
        <w:t xml:space="preserve"> roku w polskich portach lotniczych obsłużono </w:t>
      </w:r>
      <w:r w:rsidR="00BC5682" w:rsidRPr="00183B5E">
        <w:rPr>
          <w:rFonts w:cstheme="minorHAnsi"/>
          <w:szCs w:val="24"/>
        </w:rPr>
        <w:t>102</w:t>
      </w:r>
      <w:r w:rsidR="00183B5E">
        <w:rPr>
          <w:rFonts w:cstheme="minorHAnsi"/>
          <w:szCs w:val="24"/>
        </w:rPr>
        <w:t>,3</w:t>
      </w:r>
      <w:r w:rsidR="00F76F1B" w:rsidRPr="00183B5E">
        <w:rPr>
          <w:rFonts w:cstheme="minorHAnsi"/>
          <w:szCs w:val="24"/>
        </w:rPr>
        <w:t xml:space="preserve"> tys. ton. </w:t>
      </w:r>
      <w:r w:rsidR="007B4E8F" w:rsidRPr="00183B5E">
        <w:rPr>
          <w:rFonts w:cstheme="minorHAnsi"/>
          <w:szCs w:val="24"/>
        </w:rPr>
        <w:t xml:space="preserve">W porównaniu do </w:t>
      </w:r>
      <w:r w:rsidR="0032553F" w:rsidRPr="00183B5E">
        <w:rPr>
          <w:rFonts w:cstheme="minorHAnsi"/>
          <w:szCs w:val="24"/>
        </w:rPr>
        <w:t xml:space="preserve">pierwszej połowy </w:t>
      </w:r>
      <w:r w:rsidR="007B4E8F" w:rsidRPr="00183B5E">
        <w:rPr>
          <w:rFonts w:cstheme="minorHAnsi"/>
          <w:szCs w:val="24"/>
        </w:rPr>
        <w:t>20</w:t>
      </w:r>
      <w:r w:rsidR="00BC5682" w:rsidRPr="00183B5E">
        <w:rPr>
          <w:rFonts w:cstheme="minorHAnsi"/>
          <w:szCs w:val="24"/>
        </w:rPr>
        <w:t>24</w:t>
      </w:r>
      <w:r w:rsidR="007B4E8F" w:rsidRPr="00183B5E">
        <w:rPr>
          <w:rFonts w:cstheme="minorHAnsi"/>
          <w:szCs w:val="24"/>
        </w:rPr>
        <w:t xml:space="preserve"> roku </w:t>
      </w:r>
      <w:r w:rsidR="00527143" w:rsidRPr="00183B5E">
        <w:rPr>
          <w:rFonts w:cstheme="minorHAnsi"/>
          <w:szCs w:val="24"/>
        </w:rPr>
        <w:t xml:space="preserve">przewozy towarowe realizowane na pokładach statków powietrznych </w:t>
      </w:r>
      <w:r w:rsidR="00BC5682" w:rsidRPr="00183B5E">
        <w:rPr>
          <w:rFonts w:cstheme="minorHAnsi"/>
          <w:szCs w:val="24"/>
        </w:rPr>
        <w:t xml:space="preserve">wzrosły o </w:t>
      </w:r>
      <w:r w:rsidR="00183B5E">
        <w:rPr>
          <w:rFonts w:cstheme="minorHAnsi"/>
          <w:szCs w:val="24"/>
        </w:rPr>
        <w:t>7,2</w:t>
      </w:r>
      <w:r w:rsidR="00BC5682" w:rsidRPr="00183B5E">
        <w:rPr>
          <w:rFonts w:cstheme="minorHAnsi"/>
          <w:szCs w:val="24"/>
        </w:rPr>
        <w:t>%</w:t>
      </w:r>
      <w:r w:rsidR="00F76F1B" w:rsidRPr="00183B5E">
        <w:rPr>
          <w:rFonts w:cstheme="minorHAnsi"/>
          <w:szCs w:val="24"/>
        </w:rPr>
        <w:t xml:space="preserve">. </w:t>
      </w:r>
      <w:r w:rsidR="0032553F" w:rsidRPr="00183B5E">
        <w:rPr>
          <w:rFonts w:cstheme="minorHAnsi"/>
          <w:szCs w:val="24"/>
        </w:rPr>
        <w:t xml:space="preserve">Liczba operacji lotniczych cargo </w:t>
      </w:r>
      <w:r w:rsidR="00BC5682" w:rsidRPr="00183B5E">
        <w:rPr>
          <w:rFonts w:cstheme="minorHAnsi"/>
          <w:szCs w:val="24"/>
        </w:rPr>
        <w:t xml:space="preserve">wzrosła natomiast o </w:t>
      </w:r>
      <w:r w:rsidR="00183B5E">
        <w:rPr>
          <w:rFonts w:cstheme="minorHAnsi"/>
          <w:szCs w:val="24"/>
        </w:rPr>
        <w:t>11,3</w:t>
      </w:r>
      <w:r w:rsidR="0032553F" w:rsidRPr="00183B5E">
        <w:rPr>
          <w:rFonts w:cstheme="minorHAnsi"/>
          <w:szCs w:val="24"/>
        </w:rPr>
        <w:t>%</w:t>
      </w:r>
      <w:r w:rsidR="00BC5682" w:rsidRPr="00183B5E">
        <w:rPr>
          <w:rFonts w:cstheme="minorHAnsi"/>
          <w:szCs w:val="24"/>
        </w:rPr>
        <w:t>.</w:t>
      </w:r>
    </w:p>
    <w:p w14:paraId="17EECFBD" w14:textId="06F1AA1C"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1F6599">
        <w:rPr>
          <w:rFonts w:cstheme="minorHAnsi"/>
          <w:szCs w:val="24"/>
        </w:rPr>
        <w:t xml:space="preserve">międzynarodowych </w:t>
      </w:r>
      <w:r w:rsidR="00E0179B">
        <w:rPr>
          <w:rFonts w:cstheme="minorHAnsi"/>
          <w:szCs w:val="24"/>
        </w:rPr>
        <w:t>przewozach</w:t>
      </w:r>
      <w:r w:rsidRPr="00E401F0">
        <w:rPr>
          <w:rFonts w:cstheme="minorHAnsi"/>
          <w:szCs w:val="24"/>
        </w:rPr>
        <w:t xml:space="preserve"> regularnych w </w:t>
      </w:r>
      <w:r w:rsidR="00E0179B">
        <w:rPr>
          <w:rFonts w:cstheme="minorHAnsi"/>
          <w:szCs w:val="24"/>
        </w:rPr>
        <w:t xml:space="preserve">pierwszej połowie </w:t>
      </w:r>
      <w:r w:rsidRPr="00E401F0">
        <w:rPr>
          <w:rFonts w:cstheme="minorHAnsi"/>
          <w:szCs w:val="24"/>
        </w:rPr>
        <w:t>202</w:t>
      </w:r>
      <w:r w:rsidR="00794BA2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</w:t>
      </w:r>
      <w:r w:rsidR="00EF0FBC">
        <w:rPr>
          <w:rFonts w:cstheme="minorHAnsi"/>
          <w:szCs w:val="24"/>
        </w:rPr>
        <w:t>oku</w:t>
      </w:r>
      <w:r w:rsidRPr="00E401F0">
        <w:rPr>
          <w:rFonts w:cstheme="minorHAnsi"/>
          <w:szCs w:val="24"/>
        </w:rPr>
        <w:t xml:space="preserve"> </w:t>
      </w:r>
      <w:r w:rsidR="00794BA2">
        <w:rPr>
          <w:rFonts w:cstheme="minorHAnsi"/>
          <w:szCs w:val="24"/>
        </w:rPr>
        <w:t xml:space="preserve">(w drugim kwartale podobnie) </w:t>
      </w:r>
      <w:r w:rsidRPr="00E401F0">
        <w:rPr>
          <w:rFonts w:cstheme="minorHAnsi"/>
          <w:szCs w:val="24"/>
        </w:rPr>
        <w:t xml:space="preserve">najpopularniejszym kierunkiem podróży z/do Polski była Wielka Brytania, a następnie Włochy i </w:t>
      </w:r>
      <w:r w:rsidR="00E0179B">
        <w:rPr>
          <w:rFonts w:cstheme="minorHAnsi"/>
          <w:szCs w:val="24"/>
        </w:rPr>
        <w:t>Hiszpania</w:t>
      </w:r>
      <w:r w:rsidRPr="00E401F0">
        <w:rPr>
          <w:rFonts w:cstheme="minorHAnsi"/>
          <w:szCs w:val="24"/>
        </w:rPr>
        <w:t>. Najwi</w:t>
      </w:r>
      <w:r w:rsidR="00E0179B">
        <w:rPr>
          <w:rFonts w:cstheme="minorHAnsi"/>
          <w:szCs w:val="24"/>
        </w:rPr>
        <w:t xml:space="preserve">ększe wzrosty </w:t>
      </w:r>
      <w:r w:rsidR="00794BA2">
        <w:rPr>
          <w:rFonts w:cstheme="minorHAnsi"/>
          <w:szCs w:val="24"/>
        </w:rPr>
        <w:t xml:space="preserve">ilościowe </w:t>
      </w:r>
      <w:r w:rsidRPr="00E401F0">
        <w:rPr>
          <w:rFonts w:cstheme="minorHAnsi"/>
          <w:szCs w:val="24"/>
        </w:rPr>
        <w:t xml:space="preserve">odnotowano </w:t>
      </w:r>
      <w:r w:rsidR="00794BA2">
        <w:rPr>
          <w:rFonts w:cstheme="minorHAnsi"/>
          <w:szCs w:val="24"/>
        </w:rPr>
        <w:t>w przypadku wspomnianych Włoch i Hiszpanii</w:t>
      </w:r>
      <w:r w:rsidRPr="00E401F0">
        <w:rPr>
          <w:rFonts w:cstheme="minorHAnsi"/>
          <w:szCs w:val="24"/>
        </w:rPr>
        <w:t xml:space="preserve">. Najpopularniejszym </w:t>
      </w:r>
      <w:r w:rsidR="00AE59FD">
        <w:rPr>
          <w:rFonts w:cstheme="minorHAnsi"/>
          <w:szCs w:val="24"/>
        </w:rPr>
        <w:t xml:space="preserve">z kolei </w:t>
      </w:r>
      <w:r w:rsidRPr="00E401F0">
        <w:rPr>
          <w:rFonts w:cstheme="minorHAnsi"/>
          <w:szCs w:val="24"/>
        </w:rPr>
        <w:t xml:space="preserve">kierunkiem czarterowym w </w:t>
      </w:r>
      <w:r w:rsidR="00E0179B">
        <w:rPr>
          <w:rFonts w:cstheme="minorHAnsi"/>
          <w:szCs w:val="24"/>
        </w:rPr>
        <w:t xml:space="preserve">pierwszej połowie </w:t>
      </w:r>
      <w:r w:rsidRPr="00E401F0">
        <w:rPr>
          <w:rFonts w:cstheme="minorHAnsi"/>
          <w:szCs w:val="24"/>
        </w:rPr>
        <w:t>202</w:t>
      </w:r>
      <w:r w:rsidR="00794BA2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b</w:t>
      </w:r>
      <w:r w:rsidR="00794BA2">
        <w:rPr>
          <w:rFonts w:cstheme="minorHAnsi"/>
          <w:szCs w:val="24"/>
        </w:rPr>
        <w:t>ył</w:t>
      </w:r>
      <w:r w:rsidRPr="00E401F0">
        <w:rPr>
          <w:rFonts w:cstheme="minorHAnsi"/>
          <w:szCs w:val="24"/>
        </w:rPr>
        <w:t xml:space="preserve"> </w:t>
      </w:r>
      <w:r w:rsidR="00794BA2">
        <w:rPr>
          <w:rFonts w:cstheme="minorHAnsi"/>
          <w:szCs w:val="24"/>
        </w:rPr>
        <w:t>Egipt</w:t>
      </w:r>
      <w:r w:rsidRPr="00E401F0">
        <w:rPr>
          <w:rFonts w:cstheme="minorHAnsi"/>
          <w:szCs w:val="24"/>
        </w:rPr>
        <w:t xml:space="preserve">, a następnie </w:t>
      </w:r>
      <w:r w:rsidR="003B4FF5">
        <w:rPr>
          <w:rFonts w:cstheme="minorHAnsi"/>
          <w:szCs w:val="24"/>
        </w:rPr>
        <w:t>Turcja</w:t>
      </w:r>
      <w:r w:rsidR="00E0179B" w:rsidRPr="00E401F0">
        <w:rPr>
          <w:rFonts w:cstheme="minorHAnsi"/>
          <w:szCs w:val="24"/>
        </w:rPr>
        <w:t xml:space="preserve"> </w:t>
      </w:r>
      <w:r w:rsidR="00827AC3" w:rsidRPr="00E401F0">
        <w:rPr>
          <w:rFonts w:cstheme="minorHAnsi"/>
          <w:szCs w:val="24"/>
        </w:rPr>
        <w:t>i</w:t>
      </w:r>
      <w:r w:rsidR="00EA13B7">
        <w:rPr>
          <w:rFonts w:cstheme="minorHAnsi"/>
          <w:szCs w:val="24"/>
        </w:rPr>
        <w:t> </w:t>
      </w:r>
      <w:r w:rsidR="00E0179B" w:rsidRPr="00E401F0">
        <w:rPr>
          <w:rFonts w:cstheme="minorHAnsi"/>
          <w:szCs w:val="24"/>
        </w:rPr>
        <w:t>Grecja</w:t>
      </w:r>
      <w:r w:rsidR="003B4FF5">
        <w:rPr>
          <w:rFonts w:cstheme="minorHAnsi"/>
          <w:szCs w:val="24"/>
        </w:rPr>
        <w:t xml:space="preserve">. </w:t>
      </w:r>
      <w:r w:rsidR="007919CB">
        <w:rPr>
          <w:rFonts w:cstheme="minorHAnsi"/>
          <w:szCs w:val="24"/>
        </w:rPr>
        <w:t>Największe wzrosty ilościowe osiągnęły Egipt, Hiszpania oraz Turcja – podobnie jak w drugim kwartale</w:t>
      </w:r>
      <w:r w:rsidR="00E76310">
        <w:rPr>
          <w:rFonts w:cstheme="minorHAnsi"/>
          <w:szCs w:val="24"/>
        </w:rPr>
        <w:t>.</w:t>
      </w:r>
      <w:r w:rsidR="003B4FF5">
        <w:rPr>
          <w:rFonts w:cstheme="minorHAnsi"/>
          <w:szCs w:val="24"/>
        </w:rPr>
        <w:t xml:space="preserve"> </w:t>
      </w:r>
      <w:r w:rsidR="007919CB">
        <w:rPr>
          <w:rFonts w:cstheme="minorHAnsi"/>
          <w:szCs w:val="24"/>
        </w:rPr>
        <w:t xml:space="preserve">Natomiast w </w:t>
      </w:r>
      <w:r w:rsidR="003B4FF5">
        <w:rPr>
          <w:rFonts w:cstheme="minorHAnsi"/>
          <w:szCs w:val="24"/>
        </w:rPr>
        <w:t>drugim kwartale</w:t>
      </w:r>
      <w:r w:rsidR="00E70335">
        <w:rPr>
          <w:rFonts w:cstheme="minorHAnsi"/>
          <w:szCs w:val="24"/>
        </w:rPr>
        <w:t xml:space="preserve"> najpopularniejsza była Turcja, a następnie Egipt i Grecja. </w:t>
      </w:r>
    </w:p>
    <w:p w14:paraId="3FA432EB" w14:textId="5C0574EF" w:rsidR="00F50AED" w:rsidRPr="00F50AED" w:rsidRDefault="00F50AED" w:rsidP="00EF21A5">
      <w:pPr>
        <w:rPr>
          <w:rFonts w:cstheme="minorHAnsi"/>
          <w:b/>
          <w:szCs w:val="24"/>
        </w:rPr>
      </w:pPr>
      <w:r w:rsidRPr="00F50AED">
        <w:rPr>
          <w:rStyle w:val="Pogrubienie"/>
          <w:b w:val="0"/>
        </w:rPr>
        <w:t xml:space="preserve">W pierwszym półroczu 2025 roku polski rynek odnotował wyższą dynamikę RPKM niż w przypadku liczby pasażerów, głównie za sprawą wydłużenia średniej długości odcinka lotu o </w:t>
      </w:r>
      <w:r w:rsidR="007919CB">
        <w:rPr>
          <w:rStyle w:val="Pogrubienie"/>
          <w:b w:val="0"/>
        </w:rPr>
        <w:t>46</w:t>
      </w:r>
      <w:r w:rsidR="007919CB" w:rsidRPr="00F50AED">
        <w:rPr>
          <w:rStyle w:val="Pogrubienie"/>
          <w:b w:val="0"/>
        </w:rPr>
        <w:t xml:space="preserve"> </w:t>
      </w:r>
      <w:r w:rsidRPr="00F50AED">
        <w:rPr>
          <w:rStyle w:val="Pogrubienie"/>
          <w:b w:val="0"/>
        </w:rPr>
        <w:t>km</w:t>
      </w:r>
      <w:r w:rsidR="007919CB">
        <w:rPr>
          <w:rStyle w:val="Pogrubienie"/>
          <w:b w:val="0"/>
        </w:rPr>
        <w:t xml:space="preserve"> (25 km w drugim kwartale)</w:t>
      </w:r>
      <w:r w:rsidRPr="00F50AED">
        <w:rPr>
          <w:rStyle w:val="Pogrubienie"/>
          <w:b w:val="0"/>
        </w:rPr>
        <w:t>. War</w:t>
      </w:r>
      <w:r w:rsidR="00E5669B">
        <w:rPr>
          <w:rStyle w:val="Pogrubienie"/>
          <w:b w:val="0"/>
        </w:rPr>
        <w:t>to wskazać, że dynamika ta była</w:t>
      </w:r>
      <w:r w:rsidRPr="00F50AED">
        <w:rPr>
          <w:rStyle w:val="Pogrubienie"/>
          <w:b w:val="0"/>
        </w:rPr>
        <w:t xml:space="preserve"> znacznie wyższa od wyników Europy (o </w:t>
      </w:r>
      <w:r w:rsidR="007919CB">
        <w:rPr>
          <w:rStyle w:val="Pogrubienie"/>
          <w:b w:val="0"/>
        </w:rPr>
        <w:t>9,9</w:t>
      </w:r>
      <w:r w:rsidR="007919CB" w:rsidRPr="00F50AED">
        <w:rPr>
          <w:rStyle w:val="Pogrubienie"/>
          <w:b w:val="0"/>
        </w:rPr>
        <w:t xml:space="preserve"> </w:t>
      </w:r>
      <w:r w:rsidR="006E0364">
        <w:rPr>
          <w:rStyle w:val="Pogrubienie"/>
          <w:b w:val="0"/>
        </w:rPr>
        <w:t>punktu procentowego</w:t>
      </w:r>
      <w:r w:rsidRPr="00F50AED">
        <w:rPr>
          <w:rStyle w:val="Pogrubienie"/>
          <w:b w:val="0"/>
        </w:rPr>
        <w:t xml:space="preserve">) i świata (9,3 </w:t>
      </w:r>
      <w:r w:rsidR="006E0364">
        <w:rPr>
          <w:rStyle w:val="Pogrubienie"/>
          <w:b w:val="0"/>
        </w:rPr>
        <w:t>punktu procentowego</w:t>
      </w:r>
      <w:r w:rsidRPr="00F50AED">
        <w:rPr>
          <w:rStyle w:val="Pogrubienie"/>
          <w:b w:val="0"/>
        </w:rPr>
        <w:t>) prezentowanych przez IATA.</w:t>
      </w:r>
    </w:p>
    <w:p w14:paraId="19423020" w14:textId="2B8C44C9" w:rsidR="00794BA2" w:rsidRPr="00052E59" w:rsidRDefault="00527143" w:rsidP="00FE33F3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 przypadku oferowania mierzonego wskaźnikiem ASKM, dynamika na polskim rynku również była wyższa od wyników noto</w:t>
      </w:r>
      <w:r w:rsidR="001F6599">
        <w:rPr>
          <w:rFonts w:cstheme="minorHAnsi"/>
          <w:szCs w:val="24"/>
        </w:rPr>
        <w:t>wanych na rynku europejskim o </w:t>
      </w:r>
      <w:r w:rsidR="00F50AED">
        <w:rPr>
          <w:rFonts w:cstheme="minorHAnsi"/>
          <w:szCs w:val="24"/>
        </w:rPr>
        <w:t>10</w:t>
      </w:r>
      <w:r w:rsidRPr="00E401F0">
        <w:rPr>
          <w:rFonts w:cstheme="minorHAnsi"/>
          <w:szCs w:val="24"/>
        </w:rPr>
        <w:t xml:space="preserve"> </w:t>
      </w:r>
      <w:r w:rsidR="006E0364">
        <w:rPr>
          <w:rFonts w:cstheme="minorHAnsi"/>
          <w:szCs w:val="24"/>
        </w:rPr>
        <w:t>punkt</w:t>
      </w:r>
      <w:r w:rsidR="007919CB">
        <w:rPr>
          <w:rFonts w:cstheme="minorHAnsi"/>
          <w:szCs w:val="24"/>
        </w:rPr>
        <w:t>ów</w:t>
      </w:r>
      <w:r w:rsidR="006E0364">
        <w:rPr>
          <w:rFonts w:cstheme="minorHAnsi"/>
          <w:szCs w:val="24"/>
        </w:rPr>
        <w:t xml:space="preserve"> procentow</w:t>
      </w:r>
      <w:r w:rsidR="007919CB">
        <w:rPr>
          <w:rFonts w:cstheme="minorHAnsi"/>
          <w:szCs w:val="24"/>
        </w:rPr>
        <w:t>ych</w:t>
      </w:r>
      <w:r w:rsidR="003167DA" w:rsidRPr="00E401F0">
        <w:rPr>
          <w:rFonts w:cstheme="minorHAnsi"/>
          <w:szCs w:val="24"/>
        </w:rPr>
        <w:t xml:space="preserve"> i</w:t>
      </w:r>
      <w:r w:rsidRPr="00E401F0">
        <w:rPr>
          <w:rFonts w:cstheme="minorHAnsi"/>
          <w:szCs w:val="24"/>
        </w:rPr>
        <w:t xml:space="preserve"> o </w:t>
      </w:r>
      <w:r w:rsidR="00F50AED">
        <w:rPr>
          <w:rFonts w:cstheme="minorHAnsi"/>
          <w:szCs w:val="24"/>
        </w:rPr>
        <w:t xml:space="preserve">9,6 </w:t>
      </w:r>
      <w:r w:rsidR="007919CB">
        <w:rPr>
          <w:rFonts w:cstheme="minorHAnsi"/>
          <w:szCs w:val="24"/>
        </w:rPr>
        <w:t>punktu procentowego</w:t>
      </w:r>
      <w:r w:rsidRPr="00E401F0">
        <w:rPr>
          <w:rFonts w:cstheme="minorHAnsi"/>
          <w:szCs w:val="24"/>
        </w:rPr>
        <w:t xml:space="preserve"> na rynku światowym (wg. danych IATA). Współczynnik wypełnienia miejsc LF </w:t>
      </w:r>
      <w:r w:rsidR="00E5669B">
        <w:rPr>
          <w:rFonts w:cstheme="minorHAnsi"/>
          <w:szCs w:val="24"/>
        </w:rPr>
        <w:t>pozostał na tym samym poziomie co</w:t>
      </w:r>
      <w:r w:rsidRPr="00E401F0">
        <w:rPr>
          <w:rFonts w:cstheme="minorHAnsi"/>
          <w:szCs w:val="24"/>
        </w:rPr>
        <w:t xml:space="preserve"> w </w:t>
      </w:r>
      <w:r w:rsidR="00D26A9A">
        <w:rPr>
          <w:rFonts w:cstheme="minorHAnsi"/>
          <w:szCs w:val="24"/>
        </w:rPr>
        <w:t xml:space="preserve">pierwszej połowie </w:t>
      </w:r>
      <w:r w:rsidRPr="00E401F0">
        <w:rPr>
          <w:rFonts w:cstheme="minorHAnsi"/>
          <w:szCs w:val="24"/>
        </w:rPr>
        <w:t>202</w:t>
      </w:r>
      <w:r w:rsidR="00E5669B">
        <w:rPr>
          <w:rFonts w:cstheme="minorHAnsi"/>
          <w:szCs w:val="24"/>
        </w:rPr>
        <w:t xml:space="preserve">4 i wyniósł 86,8%. Tym samym był niższy jedynie o 0,1 </w:t>
      </w:r>
      <w:r w:rsidR="006E0364">
        <w:rPr>
          <w:rFonts w:cstheme="minorHAnsi"/>
          <w:szCs w:val="24"/>
        </w:rPr>
        <w:t>punktu procentowego</w:t>
      </w:r>
      <w:r w:rsidR="00E5669B">
        <w:rPr>
          <w:rFonts w:cstheme="minorHAnsi"/>
          <w:szCs w:val="24"/>
        </w:rPr>
        <w:t xml:space="preserve"> w porównaniu z Europą oraz </w:t>
      </w:r>
      <w:r w:rsidRPr="00E401F0">
        <w:rPr>
          <w:rFonts w:cstheme="minorHAnsi"/>
          <w:szCs w:val="24"/>
        </w:rPr>
        <w:t xml:space="preserve">o </w:t>
      </w:r>
      <w:r w:rsidR="00D26A9A">
        <w:rPr>
          <w:rFonts w:cstheme="minorHAnsi"/>
          <w:szCs w:val="24"/>
        </w:rPr>
        <w:t>0,2</w:t>
      </w:r>
      <w:r w:rsidRPr="00E401F0">
        <w:rPr>
          <w:rFonts w:cstheme="minorHAnsi"/>
          <w:szCs w:val="24"/>
        </w:rPr>
        <w:t xml:space="preserve"> </w:t>
      </w:r>
      <w:r w:rsidR="006E0364">
        <w:rPr>
          <w:rFonts w:cstheme="minorHAnsi"/>
          <w:szCs w:val="24"/>
        </w:rPr>
        <w:t>punktu procentowego</w:t>
      </w:r>
      <w:r w:rsidR="00E5669B">
        <w:rPr>
          <w:rFonts w:cstheme="minorHAnsi"/>
          <w:szCs w:val="24"/>
        </w:rPr>
        <w:t xml:space="preserve"> w odniesieniu do poziomu światowego.</w:t>
      </w:r>
      <w:r w:rsidR="003E70F6">
        <w:rPr>
          <w:rFonts w:cstheme="minorHAnsi"/>
          <w:szCs w:val="24"/>
        </w:rPr>
        <w:t xml:space="preserve"> </w:t>
      </w:r>
    </w:p>
    <w:p w14:paraId="1B3CEB6F" w14:textId="3F81C680" w:rsidR="00C9280B" w:rsidRPr="00052E59" w:rsidRDefault="00794BA2" w:rsidP="00794BA2">
      <w:pPr>
        <w:rPr>
          <w:rStyle w:val="Pogrubienie"/>
          <w:b w:val="0"/>
        </w:rPr>
      </w:pPr>
      <w:r w:rsidRPr="00052E59">
        <w:rPr>
          <w:rStyle w:val="Pogrubienie"/>
          <w:b w:val="0"/>
        </w:rPr>
        <w:t>Podobnie j</w:t>
      </w:r>
      <w:r w:rsidR="0040318F" w:rsidRPr="00052E59">
        <w:rPr>
          <w:rStyle w:val="Pogrubienie"/>
          <w:b w:val="0"/>
        </w:rPr>
        <w:t xml:space="preserve">ak w pierwszym kwartale, tak i w drugim, a co za tym idzie w całym </w:t>
      </w:r>
      <w:r w:rsidR="007919CB">
        <w:rPr>
          <w:rStyle w:val="Pogrubienie"/>
          <w:b w:val="0"/>
        </w:rPr>
        <w:t xml:space="preserve">pierwszym </w:t>
      </w:r>
      <w:r w:rsidR="0040318F" w:rsidRPr="00052E59">
        <w:rPr>
          <w:rStyle w:val="Pogrubienie"/>
          <w:b w:val="0"/>
        </w:rPr>
        <w:t>półroczu</w:t>
      </w:r>
      <w:r w:rsidR="003E70F6">
        <w:rPr>
          <w:rStyle w:val="Pogrubienie"/>
          <w:b w:val="0"/>
        </w:rPr>
        <w:t xml:space="preserve"> </w:t>
      </w:r>
      <w:r w:rsidR="0040318F" w:rsidRPr="00052E59">
        <w:rPr>
          <w:rStyle w:val="Pogrubienie"/>
          <w:b w:val="0"/>
        </w:rPr>
        <w:t>2025</w:t>
      </w:r>
      <w:r w:rsidRPr="00052E59">
        <w:rPr>
          <w:rStyle w:val="Pogrubienie"/>
          <w:b w:val="0"/>
        </w:rPr>
        <w:t xml:space="preserve"> roku doszło do niewielkiej zmiany struktury udziałów przewoźników w rynku ze względu na realizowany model biznesowy. </w:t>
      </w:r>
      <w:r w:rsidR="00C9280B" w:rsidRPr="00052E59">
        <w:rPr>
          <w:rStyle w:val="Pogrubienie"/>
          <w:b w:val="0"/>
        </w:rPr>
        <w:t>W dalszym ciągu to przewoźnicy</w:t>
      </w:r>
      <w:r w:rsidRPr="00052E59">
        <w:rPr>
          <w:rStyle w:val="Pogrubienie"/>
          <w:b w:val="0"/>
        </w:rPr>
        <w:t xml:space="preserve"> </w:t>
      </w:r>
      <w:r w:rsidR="00C9280B" w:rsidRPr="00052E59">
        <w:rPr>
          <w:rStyle w:val="Pogrubienie"/>
          <w:b w:val="0"/>
        </w:rPr>
        <w:t xml:space="preserve">niskokosztowi mają największy udział w </w:t>
      </w:r>
      <w:r w:rsidR="0077695C">
        <w:rPr>
          <w:rStyle w:val="Pogrubienie"/>
          <w:b w:val="0"/>
        </w:rPr>
        <w:t>rynku. Warto jednak zaznaczyć, że rośli oni w podobnym tempie co przewoźnicy sieciowi</w:t>
      </w:r>
      <w:r w:rsidR="004A2DD3">
        <w:rPr>
          <w:rStyle w:val="Pogrubienie"/>
          <w:b w:val="0"/>
        </w:rPr>
        <w:t xml:space="preserve">. </w:t>
      </w:r>
      <w:r w:rsidR="0077695C">
        <w:rPr>
          <w:rStyle w:val="Pogrubienie"/>
          <w:b w:val="0"/>
        </w:rPr>
        <w:t>W</w:t>
      </w:r>
      <w:r w:rsidR="0040318F" w:rsidRPr="00052E59">
        <w:rPr>
          <w:rStyle w:val="Pogrubienie"/>
          <w:b w:val="0"/>
        </w:rPr>
        <w:t xml:space="preserve"> całym półroczu 2025 roku </w:t>
      </w:r>
      <w:r w:rsidR="0077695C">
        <w:rPr>
          <w:rStyle w:val="Pogrubienie"/>
          <w:b w:val="0"/>
        </w:rPr>
        <w:t>to jednak prze</w:t>
      </w:r>
      <w:r w:rsidR="004A2DD3">
        <w:rPr>
          <w:rStyle w:val="Pogrubienie"/>
          <w:b w:val="0"/>
        </w:rPr>
        <w:t>wo</w:t>
      </w:r>
      <w:r w:rsidR="0077695C">
        <w:rPr>
          <w:rStyle w:val="Pogrubienie"/>
          <w:b w:val="0"/>
        </w:rPr>
        <w:t xml:space="preserve">źnicy czarterowi </w:t>
      </w:r>
      <w:r w:rsidR="00052E59" w:rsidRPr="00052E59">
        <w:rPr>
          <w:rStyle w:val="Pogrubienie"/>
          <w:b w:val="0"/>
        </w:rPr>
        <w:t>odnotowa</w:t>
      </w:r>
      <w:r w:rsidR="0077695C">
        <w:rPr>
          <w:rStyle w:val="Pogrubienie"/>
          <w:b w:val="0"/>
        </w:rPr>
        <w:t>li</w:t>
      </w:r>
      <w:r w:rsidR="00052E59" w:rsidRPr="00052E59">
        <w:rPr>
          <w:rStyle w:val="Pogrubienie"/>
          <w:b w:val="0"/>
        </w:rPr>
        <w:t xml:space="preserve"> najwyższą dynamikę</w:t>
      </w:r>
      <w:r w:rsidR="00C9280B" w:rsidRPr="00052E59">
        <w:rPr>
          <w:rStyle w:val="Pogrubienie"/>
          <w:b w:val="0"/>
        </w:rPr>
        <w:t xml:space="preserve"> wzrostu przewozów spośród </w:t>
      </w:r>
      <w:r w:rsidR="004A2DD3">
        <w:rPr>
          <w:rStyle w:val="Pogrubienie"/>
          <w:b w:val="0"/>
        </w:rPr>
        <w:t>wyżej wskazanych</w:t>
      </w:r>
      <w:r w:rsidR="00C9280B" w:rsidRPr="00052E59">
        <w:rPr>
          <w:rStyle w:val="Pogrubienie"/>
          <w:b w:val="0"/>
        </w:rPr>
        <w:t xml:space="preserve"> grup</w:t>
      </w:r>
      <w:r w:rsidR="00052E59" w:rsidRPr="00052E59">
        <w:rPr>
          <w:rStyle w:val="Pogrubienie"/>
          <w:b w:val="0"/>
        </w:rPr>
        <w:t xml:space="preserve"> tj.</w:t>
      </w:r>
      <w:r w:rsidR="00C9280B" w:rsidRPr="00052E59">
        <w:rPr>
          <w:rStyle w:val="Pogrubienie"/>
          <w:b w:val="0"/>
        </w:rPr>
        <w:t xml:space="preserve"> 14%.</w:t>
      </w:r>
      <w:r w:rsidR="0077695C">
        <w:rPr>
          <w:rStyle w:val="Pogrubienie"/>
          <w:b w:val="0"/>
        </w:rPr>
        <w:t xml:space="preserve"> </w:t>
      </w:r>
    </w:p>
    <w:p w14:paraId="0B20B075" w14:textId="77777777" w:rsidR="00FE33F3" w:rsidRPr="00052E59" w:rsidRDefault="00C9280B" w:rsidP="00FE33F3">
      <w:pPr>
        <w:rPr>
          <w:rFonts w:cstheme="minorHAnsi"/>
          <w:bCs/>
        </w:rPr>
      </w:pPr>
      <w:r w:rsidRPr="00052E59">
        <w:rPr>
          <w:rStyle w:val="Pogrubienie"/>
          <w:b w:val="0"/>
        </w:rPr>
        <w:lastRenderedPageBreak/>
        <w:t xml:space="preserve"> </w:t>
      </w:r>
      <w:r w:rsidR="00794BA2" w:rsidRPr="00052E59">
        <w:rPr>
          <w:rStyle w:val="Pogrubienie"/>
          <w:b w:val="0"/>
        </w:rPr>
        <w:t>Najwięcej pasażerów i największe wzrosty ilościowe w tym okresie wśród przewoźników LCC odnotowały ponownie Ryanair i Wizz Air. W przypadku przewoźników sieciowych najwięcej pasażerów obsłużył PLL LOT (który również pod względem ilościowym miał największe wzrosty). Oprócz niego największe wzrosty w p</w:t>
      </w:r>
      <w:r w:rsidR="00052E59" w:rsidRPr="00052E59">
        <w:rPr>
          <w:rStyle w:val="Pogrubienie"/>
          <w:b w:val="0"/>
        </w:rPr>
        <w:t>ierwszych dwóch kwartałach 2025</w:t>
      </w:r>
      <w:r w:rsidR="00794BA2" w:rsidRPr="00052E59">
        <w:rPr>
          <w:rStyle w:val="Pogrubienie"/>
          <w:b w:val="0"/>
        </w:rPr>
        <w:t xml:space="preserve"> roku miały </w:t>
      </w:r>
      <w:r w:rsidR="00052E59" w:rsidRPr="00052E59">
        <w:rPr>
          <w:rStyle w:val="Pogrubienie"/>
          <w:b w:val="0"/>
        </w:rPr>
        <w:t>Air Arabia oraz SAS</w:t>
      </w:r>
      <w:r w:rsidR="00794BA2" w:rsidRPr="00052E59">
        <w:rPr>
          <w:rStyle w:val="Pogrubienie"/>
          <w:b w:val="0"/>
        </w:rPr>
        <w:t>.</w:t>
      </w:r>
      <w:r w:rsidR="00FE33F3" w:rsidRPr="00E401F0">
        <w:br w:type="page"/>
      </w:r>
    </w:p>
    <w:p w14:paraId="001E35A6" w14:textId="77777777" w:rsidR="00527143" w:rsidRPr="00E401F0" w:rsidRDefault="00EF21A5" w:rsidP="005A6434">
      <w:pPr>
        <w:pStyle w:val="Nagwek1"/>
      </w:pPr>
      <w:bookmarkStart w:id="5" w:name="_Toc178665038"/>
      <w:r w:rsidRPr="00E401F0">
        <w:lastRenderedPageBreak/>
        <w:t>Przewozy pasażerskie - narastająco</w:t>
      </w:r>
      <w:bookmarkEnd w:id="5"/>
    </w:p>
    <w:p w14:paraId="21FCDD2D" w14:textId="5DF275EB"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Polskie porty lotnicze obsłużyły </w:t>
      </w:r>
      <w:r w:rsidR="007B4A6D" w:rsidRPr="00E401F0">
        <w:rPr>
          <w:rFonts w:cstheme="minorHAnsi"/>
          <w:szCs w:val="24"/>
        </w:rPr>
        <w:t>w</w:t>
      </w:r>
      <w:r w:rsidR="00BA6196">
        <w:rPr>
          <w:rFonts w:cstheme="minorHAnsi"/>
          <w:szCs w:val="24"/>
        </w:rPr>
        <w:t xml:space="preserve"> pierwszej połowie</w:t>
      </w:r>
      <w:r w:rsidR="007B4A6D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202</w:t>
      </w:r>
      <w:r w:rsidR="00557D64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</w:t>
      </w:r>
      <w:r w:rsidR="00557D64">
        <w:rPr>
          <w:rFonts w:cstheme="minorHAnsi"/>
          <w:szCs w:val="24"/>
        </w:rPr>
        <w:t>29,7</w:t>
      </w:r>
      <w:r w:rsidRPr="00E401F0">
        <w:rPr>
          <w:rFonts w:cstheme="minorHAnsi"/>
          <w:szCs w:val="24"/>
        </w:rPr>
        <w:t xml:space="preserve"> mln pasażerów co oznaczało wzrost liczby obsłużonych pasażerów w wysokości </w:t>
      </w:r>
      <w:r w:rsidR="00BA678B">
        <w:rPr>
          <w:rFonts w:cstheme="minorHAnsi"/>
          <w:szCs w:val="24"/>
        </w:rPr>
        <w:t>11,8</w:t>
      </w:r>
      <w:r w:rsidRPr="00E401F0">
        <w:rPr>
          <w:rFonts w:cstheme="minorHAnsi"/>
          <w:szCs w:val="24"/>
        </w:rPr>
        <w:t xml:space="preserve">% w porównaniu do </w:t>
      </w:r>
      <w:r w:rsidR="00BA6196">
        <w:rPr>
          <w:rFonts w:cstheme="minorHAnsi"/>
          <w:szCs w:val="24"/>
        </w:rPr>
        <w:t xml:space="preserve">tego samego okresu </w:t>
      </w:r>
      <w:r w:rsidRPr="00E401F0">
        <w:rPr>
          <w:rFonts w:cstheme="minorHAnsi"/>
          <w:szCs w:val="24"/>
        </w:rPr>
        <w:t>202</w:t>
      </w:r>
      <w:r w:rsidR="00BA678B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</w:t>
      </w:r>
      <w:r w:rsidR="00235201" w:rsidRPr="00E401F0">
        <w:rPr>
          <w:rFonts w:cstheme="minorHAnsi"/>
          <w:szCs w:val="24"/>
        </w:rPr>
        <w:t>roku</w:t>
      </w:r>
      <w:r w:rsidR="00BA678B">
        <w:rPr>
          <w:rFonts w:cstheme="minorHAnsi"/>
          <w:szCs w:val="24"/>
        </w:rPr>
        <w:t xml:space="preserve"> </w:t>
      </w:r>
      <w:r w:rsidR="00C972F4">
        <w:rPr>
          <w:rFonts w:cstheme="minorHAnsi"/>
          <w:szCs w:val="24"/>
        </w:rPr>
        <w:t>i o 28</w:t>
      </w:r>
      <w:r w:rsidR="006F03D0">
        <w:rPr>
          <w:rFonts w:cstheme="minorHAnsi"/>
          <w:szCs w:val="24"/>
        </w:rPr>
        <w:t>% w por</w:t>
      </w:r>
      <w:r w:rsidR="00BA678B">
        <w:rPr>
          <w:rFonts w:cstheme="minorHAnsi"/>
          <w:szCs w:val="24"/>
        </w:rPr>
        <w:t>ównaniu do pierwszej połowy 2023</w:t>
      </w:r>
      <w:r w:rsidR="006F03D0">
        <w:rPr>
          <w:rFonts w:cstheme="minorHAnsi"/>
          <w:szCs w:val="24"/>
        </w:rPr>
        <w:t xml:space="preserve"> roku</w:t>
      </w:r>
      <w:r w:rsidRPr="00E401F0">
        <w:rPr>
          <w:rFonts w:cstheme="minorHAnsi"/>
          <w:szCs w:val="24"/>
        </w:rPr>
        <w:t xml:space="preserve">. </w:t>
      </w:r>
    </w:p>
    <w:p w14:paraId="7CBDBFD7" w14:textId="77777777" w:rsidR="00BA678B" w:rsidRPr="007D383E" w:rsidRDefault="00BA678B" w:rsidP="00BA678B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Średnia długość odcinka lotu </w:t>
      </w:r>
      <w:r>
        <w:rPr>
          <w:rFonts w:cstheme="minorHAnsi"/>
          <w:szCs w:val="24"/>
        </w:rPr>
        <w:t xml:space="preserve">zwiększyła się </w:t>
      </w:r>
      <w:r w:rsidRPr="007D383E">
        <w:rPr>
          <w:rFonts w:cstheme="minorHAnsi"/>
          <w:szCs w:val="24"/>
        </w:rPr>
        <w:t xml:space="preserve">o </w:t>
      </w:r>
      <w:r w:rsidR="00063C16">
        <w:rPr>
          <w:rFonts w:cstheme="minorHAnsi"/>
          <w:szCs w:val="24"/>
        </w:rPr>
        <w:t>46</w:t>
      </w:r>
      <w:r w:rsidRPr="007D383E">
        <w:rPr>
          <w:rFonts w:cstheme="minorHAnsi"/>
          <w:szCs w:val="24"/>
        </w:rPr>
        <w:t xml:space="preserve"> km </w:t>
      </w:r>
      <w:r>
        <w:rPr>
          <w:rFonts w:cstheme="minorHAnsi"/>
          <w:szCs w:val="24"/>
        </w:rPr>
        <w:t>w porównaniu do pierwszego półrocza 2024</w:t>
      </w:r>
      <w:r w:rsidRPr="007D383E">
        <w:rPr>
          <w:rFonts w:cstheme="minorHAnsi"/>
          <w:szCs w:val="24"/>
        </w:rPr>
        <w:t xml:space="preserve"> roku (</w:t>
      </w:r>
      <w:r w:rsidR="00063C16">
        <w:rPr>
          <w:rFonts w:cstheme="minorHAnsi"/>
          <w:szCs w:val="24"/>
        </w:rPr>
        <w:t>+94</w:t>
      </w:r>
      <w:r>
        <w:rPr>
          <w:rFonts w:cstheme="minorHAnsi"/>
          <w:szCs w:val="24"/>
        </w:rPr>
        <w:t xml:space="preserve"> km do 2023</w:t>
      </w:r>
      <w:r w:rsidRPr="007D383E">
        <w:rPr>
          <w:rFonts w:cstheme="minorHAnsi"/>
          <w:szCs w:val="24"/>
        </w:rPr>
        <w:t xml:space="preserve"> roku)</w:t>
      </w:r>
      <w:r>
        <w:rPr>
          <w:rFonts w:cstheme="minorHAnsi"/>
          <w:szCs w:val="24"/>
        </w:rPr>
        <w:t xml:space="preserve">. Doszło także do wzrostu </w:t>
      </w:r>
      <w:r w:rsidRPr="007D383E">
        <w:rPr>
          <w:rFonts w:cstheme="minorHAnsi"/>
          <w:szCs w:val="24"/>
        </w:rPr>
        <w:t>oferowani</w:t>
      </w:r>
      <w:r>
        <w:rPr>
          <w:rFonts w:cstheme="minorHAnsi"/>
          <w:szCs w:val="24"/>
        </w:rPr>
        <w:t>a</w:t>
      </w:r>
      <w:r w:rsidRPr="007D383E">
        <w:rPr>
          <w:rFonts w:cstheme="minorHAnsi"/>
          <w:szCs w:val="24"/>
        </w:rPr>
        <w:t xml:space="preserve"> o </w:t>
      </w:r>
      <w:r w:rsidR="00063C16">
        <w:rPr>
          <w:rFonts w:cstheme="minorHAnsi"/>
          <w:szCs w:val="24"/>
        </w:rPr>
        <w:t>11,3</w:t>
      </w:r>
      <w:r>
        <w:rPr>
          <w:rFonts w:cstheme="minorHAnsi"/>
          <w:szCs w:val="24"/>
        </w:rPr>
        <w:t>%</w:t>
      </w:r>
      <w:r w:rsidRPr="007D383E">
        <w:rPr>
          <w:rFonts w:cstheme="minorHAnsi"/>
          <w:szCs w:val="24"/>
        </w:rPr>
        <w:t xml:space="preserve"> (+</w:t>
      </w:r>
      <w:r w:rsidR="00063C16">
        <w:rPr>
          <w:rFonts w:cstheme="minorHAnsi"/>
          <w:szCs w:val="24"/>
        </w:rPr>
        <w:t>28</w:t>
      </w:r>
      <w:r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 xml:space="preserve">% </w:t>
      </w:r>
      <w:r>
        <w:rPr>
          <w:rFonts w:cstheme="minorHAnsi"/>
          <w:szCs w:val="24"/>
        </w:rPr>
        <w:t>do analogicznego okresu 2023</w:t>
      </w:r>
      <w:r w:rsidRPr="007D383E">
        <w:rPr>
          <w:rFonts w:cstheme="minorHAnsi"/>
          <w:szCs w:val="24"/>
        </w:rPr>
        <w:t xml:space="preserve"> roku)</w:t>
      </w:r>
      <w:r>
        <w:rPr>
          <w:rFonts w:cstheme="minorHAnsi"/>
          <w:szCs w:val="24"/>
        </w:rPr>
        <w:t>.</w:t>
      </w:r>
    </w:p>
    <w:p w14:paraId="3ABCA176" w14:textId="20A757BA" w:rsidR="00DA764F" w:rsidRDefault="00527143" w:rsidP="00DA4DCC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Współczynnik wypełnienia miejsc (SF) </w:t>
      </w:r>
      <w:r w:rsidR="00063C16">
        <w:rPr>
          <w:rFonts w:cstheme="minorHAnsi"/>
          <w:szCs w:val="24"/>
        </w:rPr>
        <w:t xml:space="preserve">wyniósł 84,1 </w:t>
      </w:r>
      <w:r w:rsidRPr="00E401F0">
        <w:rPr>
          <w:rFonts w:cstheme="minorHAnsi"/>
          <w:szCs w:val="24"/>
        </w:rPr>
        <w:t>%</w:t>
      </w:r>
      <w:r w:rsidR="00961541">
        <w:rPr>
          <w:rFonts w:cstheme="minorHAnsi"/>
          <w:szCs w:val="24"/>
        </w:rPr>
        <w:t xml:space="preserve"> </w:t>
      </w:r>
      <w:r w:rsidR="000C60B9">
        <w:rPr>
          <w:rFonts w:cstheme="minorHAnsi"/>
          <w:szCs w:val="24"/>
        </w:rPr>
        <w:t xml:space="preserve">i był jednocześnie wyższy </w:t>
      </w:r>
      <w:r w:rsidR="000C60B9" w:rsidRPr="00E401F0">
        <w:rPr>
          <w:rFonts w:cstheme="minorHAnsi"/>
          <w:szCs w:val="24"/>
        </w:rPr>
        <w:t xml:space="preserve">o </w:t>
      </w:r>
      <w:r w:rsidR="000C60B9">
        <w:rPr>
          <w:rFonts w:cstheme="minorHAnsi"/>
          <w:szCs w:val="24"/>
        </w:rPr>
        <w:t>0,4</w:t>
      </w:r>
      <w:r w:rsidR="000C60B9" w:rsidRPr="00E401F0">
        <w:rPr>
          <w:rFonts w:cstheme="minorHAnsi"/>
          <w:szCs w:val="24"/>
        </w:rPr>
        <w:t xml:space="preserve"> </w:t>
      </w:r>
      <w:r w:rsidR="000C60B9">
        <w:rPr>
          <w:rFonts w:cstheme="minorHAnsi"/>
          <w:szCs w:val="24"/>
        </w:rPr>
        <w:t>punktu procentowego</w:t>
      </w:r>
      <w:r w:rsidR="000C60B9" w:rsidRPr="00E401F0">
        <w:rPr>
          <w:rFonts w:cstheme="minorHAnsi"/>
          <w:szCs w:val="24"/>
        </w:rPr>
        <w:t xml:space="preserve"> w porównaniu do </w:t>
      </w:r>
      <w:r w:rsidR="000C60B9">
        <w:rPr>
          <w:rFonts w:cstheme="minorHAnsi"/>
          <w:szCs w:val="24"/>
        </w:rPr>
        <w:t>pierwszego półrocza 2024 roku. Z kolei w odniesieniu do pierwszego półrocza 2023 roku był na tym samym poziomie.</w:t>
      </w:r>
      <w:r w:rsidRPr="00E401F0">
        <w:rPr>
          <w:rFonts w:cstheme="minorHAnsi"/>
          <w:szCs w:val="24"/>
        </w:rPr>
        <w:t xml:space="preserve"> Współczynnik LF wyniósł </w:t>
      </w:r>
      <w:r w:rsidR="00063C16">
        <w:rPr>
          <w:rFonts w:cstheme="minorHAnsi"/>
          <w:szCs w:val="24"/>
        </w:rPr>
        <w:t>86,8</w:t>
      </w:r>
      <w:r w:rsidRPr="00E401F0">
        <w:rPr>
          <w:rFonts w:cstheme="minorHAnsi"/>
          <w:szCs w:val="24"/>
        </w:rPr>
        <w:t xml:space="preserve">%, </w:t>
      </w:r>
      <w:r w:rsidR="00063C16">
        <w:rPr>
          <w:rFonts w:cstheme="minorHAnsi"/>
          <w:szCs w:val="24"/>
        </w:rPr>
        <w:t>podobnie jak w pierwszej połowie 2024</w:t>
      </w:r>
      <w:r w:rsidR="006D5A42">
        <w:rPr>
          <w:rFonts w:cstheme="minorHAnsi"/>
          <w:szCs w:val="24"/>
        </w:rPr>
        <w:t xml:space="preserve"> roku</w:t>
      </w:r>
      <w:r w:rsidR="006F03D0">
        <w:rPr>
          <w:rFonts w:cstheme="minorHAnsi"/>
          <w:szCs w:val="24"/>
        </w:rPr>
        <w:t xml:space="preserve"> (wzrost </w:t>
      </w:r>
      <w:r w:rsidR="00EA13B7">
        <w:rPr>
          <w:rFonts w:cstheme="minorHAnsi"/>
          <w:szCs w:val="24"/>
        </w:rPr>
        <w:t>o </w:t>
      </w:r>
      <w:r w:rsidR="00063C16">
        <w:rPr>
          <w:rFonts w:cstheme="minorHAnsi"/>
          <w:szCs w:val="24"/>
        </w:rPr>
        <w:t xml:space="preserve">0,2 </w:t>
      </w:r>
      <w:r w:rsidR="007919CB">
        <w:rPr>
          <w:rFonts w:cstheme="minorHAnsi"/>
          <w:szCs w:val="24"/>
        </w:rPr>
        <w:t xml:space="preserve">punktu procentowego </w:t>
      </w:r>
      <w:r w:rsidR="00063C16">
        <w:rPr>
          <w:rFonts w:cstheme="minorHAnsi"/>
          <w:szCs w:val="24"/>
        </w:rPr>
        <w:t>do 2023</w:t>
      </w:r>
      <w:r w:rsidR="006F03D0">
        <w:rPr>
          <w:rFonts w:cstheme="minorHAnsi"/>
          <w:szCs w:val="24"/>
        </w:rPr>
        <w:t xml:space="preserve"> roku)</w:t>
      </w:r>
      <w:r w:rsidRPr="00E401F0">
        <w:rPr>
          <w:rFonts w:cstheme="minorHAnsi"/>
          <w:szCs w:val="24"/>
        </w:rPr>
        <w:t xml:space="preserve">. </w:t>
      </w:r>
    </w:p>
    <w:p w14:paraId="4EDD3696" w14:textId="524A7368" w:rsidR="00DA4DCC" w:rsidRPr="00DA4DCC" w:rsidRDefault="00DA4DCC" w:rsidP="00DA4DCC">
      <w:pPr>
        <w:jc w:val="center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0D3A4FE0" wp14:editId="1116F7DB">
            <wp:extent cx="4679950" cy="2339975"/>
            <wp:effectExtent l="0" t="0" r="6350" b="3175"/>
            <wp:docPr id="32" name="Wykres 32" descr="Wykres przedstawia łączną liczbę przewiezionych pasażerów w minionych kwartałach wraz z uwzględnieniem analogicznych okresów z poprzednich 2 lat. Dane przedstawione w Tabeli 3.1 poniżej." title="Wykres 3.1 Liczba pasażerów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B503834" w14:textId="7F3A7BDE" w:rsidR="001B72F1" w:rsidRPr="001B72F1" w:rsidRDefault="00DA764F" w:rsidP="00E64CE3">
      <w:pPr>
        <w:spacing w:line="240" w:lineRule="auto"/>
        <w:jc w:val="center"/>
        <w:rPr>
          <w:rFonts w:cstheme="minorHAnsi"/>
          <w:szCs w:val="24"/>
        </w:rPr>
      </w:pPr>
      <w:bookmarkStart w:id="6" w:name="_Toc219462780"/>
      <w:r w:rsidRPr="002610D2">
        <w:rPr>
          <w:b/>
          <w:i/>
          <w:sz w:val="22"/>
        </w:rPr>
        <w:t xml:space="preserve">Wykres </w:t>
      </w:r>
      <w:r w:rsidR="00F27BCD" w:rsidRPr="002610D2">
        <w:rPr>
          <w:b/>
          <w:i/>
          <w:sz w:val="22"/>
        </w:rPr>
        <w:fldChar w:fldCharType="begin"/>
      </w:r>
      <w:r w:rsidR="00F27BCD" w:rsidRPr="002610D2">
        <w:rPr>
          <w:b/>
          <w:i/>
          <w:sz w:val="22"/>
        </w:rPr>
        <w:instrText xml:space="preserve"> STYLEREF 1 \s </w:instrText>
      </w:r>
      <w:r w:rsidR="00F27BCD" w:rsidRPr="002610D2">
        <w:rPr>
          <w:b/>
          <w:i/>
          <w:sz w:val="22"/>
        </w:rPr>
        <w:fldChar w:fldCharType="separate"/>
      </w:r>
      <w:r w:rsidR="00F27BCD" w:rsidRPr="002610D2">
        <w:rPr>
          <w:b/>
          <w:i/>
          <w:noProof/>
          <w:sz w:val="22"/>
        </w:rPr>
        <w:t>3</w:t>
      </w:r>
      <w:r w:rsidR="00F27BCD" w:rsidRPr="002610D2">
        <w:rPr>
          <w:b/>
          <w:i/>
          <w:sz w:val="22"/>
        </w:rPr>
        <w:fldChar w:fldCharType="end"/>
      </w:r>
      <w:r w:rsidR="00F27BCD" w:rsidRPr="002610D2">
        <w:rPr>
          <w:b/>
          <w:i/>
          <w:sz w:val="22"/>
        </w:rPr>
        <w:t>.</w:t>
      </w:r>
      <w:r w:rsidR="00F27BCD" w:rsidRPr="002610D2">
        <w:rPr>
          <w:b/>
          <w:i/>
          <w:sz w:val="22"/>
        </w:rPr>
        <w:fldChar w:fldCharType="begin"/>
      </w:r>
      <w:r w:rsidR="00F27BCD" w:rsidRPr="002610D2">
        <w:rPr>
          <w:b/>
          <w:i/>
          <w:sz w:val="22"/>
        </w:rPr>
        <w:instrText xml:space="preserve"> SEQ Wykres \* ARABIC \s 1 </w:instrText>
      </w:r>
      <w:r w:rsidR="00F27BCD" w:rsidRPr="002610D2">
        <w:rPr>
          <w:b/>
          <w:i/>
          <w:sz w:val="22"/>
        </w:rPr>
        <w:fldChar w:fldCharType="separate"/>
      </w:r>
      <w:r w:rsidR="00F27BCD" w:rsidRPr="002610D2">
        <w:rPr>
          <w:b/>
          <w:i/>
          <w:noProof/>
          <w:sz w:val="22"/>
        </w:rPr>
        <w:t>1</w:t>
      </w:r>
      <w:r w:rsidR="00F27BCD" w:rsidRPr="002610D2">
        <w:rPr>
          <w:b/>
          <w:i/>
          <w:sz w:val="22"/>
        </w:rPr>
        <w:fldChar w:fldCharType="end"/>
      </w:r>
      <w:r w:rsidR="007605B9" w:rsidRPr="007605B9">
        <w:rPr>
          <w:i/>
        </w:rPr>
        <w:t xml:space="preserve"> </w:t>
      </w:r>
      <w:r w:rsidR="001B72F1" w:rsidRPr="001B72F1">
        <w:rPr>
          <w:rFonts w:ascii="Calibri" w:eastAsia="Times New Roman" w:hAnsi="Calibri" w:cs="Calibri"/>
          <w:i/>
          <w:color w:val="000000"/>
          <w:sz w:val="22"/>
          <w:lang w:eastAsia="pl-PL"/>
        </w:rPr>
        <w:t>Liczba pasażerów (mln) – narastająco – wykres przedstawia łączną liczbę przewiezionych pasażerów w pierwszej połowie 2025 roku wraz z uwzględnieniem lat 2024</w:t>
      </w:r>
      <w:r w:rsidR="001B72F1" w:rsidRPr="001B72F1">
        <w:rPr>
          <w:sz w:val="22"/>
        </w:rPr>
        <w:t xml:space="preserve"> </w:t>
      </w:r>
      <w:r w:rsidR="001B72F1" w:rsidRPr="001B72F1">
        <w:rPr>
          <w:rFonts w:ascii="Calibri" w:eastAsia="Times New Roman" w:hAnsi="Calibri" w:cs="Calibri"/>
          <w:i/>
          <w:color w:val="000000"/>
          <w:sz w:val="22"/>
          <w:lang w:eastAsia="pl-PL"/>
        </w:rPr>
        <w:t>i 2023</w:t>
      </w:r>
      <w:bookmarkEnd w:id="6"/>
    </w:p>
    <w:tbl>
      <w:tblPr>
        <w:tblW w:w="2740" w:type="dxa"/>
        <w:tblInd w:w="3158" w:type="dxa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80"/>
      </w:tblGrid>
      <w:tr w:rsidR="001B72F1" w:rsidRPr="001B72F1" w14:paraId="10139B11" w14:textId="77777777" w:rsidTr="00234D3E">
        <w:trPr>
          <w:divId w:val="389891760"/>
          <w:trHeight w:val="317"/>
        </w:trPr>
        <w:tc>
          <w:tcPr>
            <w:tcW w:w="960" w:type="dxa"/>
            <w:shd w:val="clear" w:color="000000" w:fill="283772"/>
            <w:noWrap/>
            <w:vAlign w:val="center"/>
            <w:hideMark/>
          </w:tcPr>
          <w:p w14:paraId="3F88E68D" w14:textId="77777777" w:rsidR="001B72F1" w:rsidRPr="001B72F1" w:rsidRDefault="001B72F1" w:rsidP="001B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Times New Roman"/>
                <w:color w:val="FFFFFF"/>
                <w:szCs w:val="24"/>
                <w:lang w:eastAsia="pl-PL"/>
              </w:rPr>
              <w:t>Rok</w:t>
            </w:r>
          </w:p>
        </w:tc>
        <w:tc>
          <w:tcPr>
            <w:tcW w:w="1780" w:type="dxa"/>
            <w:shd w:val="clear" w:color="000000" w:fill="283772"/>
            <w:noWrap/>
            <w:vAlign w:val="center"/>
            <w:hideMark/>
          </w:tcPr>
          <w:p w14:paraId="020189E4" w14:textId="77777777" w:rsidR="001B72F1" w:rsidRPr="001B72F1" w:rsidRDefault="001B72F1" w:rsidP="001B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Times New Roman"/>
                <w:color w:val="FFFFFF"/>
                <w:szCs w:val="24"/>
                <w:lang w:eastAsia="pl-PL"/>
              </w:rPr>
              <w:t>Narastająco</w:t>
            </w:r>
          </w:p>
        </w:tc>
      </w:tr>
      <w:tr w:rsidR="001B72F1" w:rsidRPr="001B72F1" w14:paraId="58165E1D" w14:textId="77777777" w:rsidTr="00234D3E">
        <w:trPr>
          <w:divId w:val="389891760"/>
          <w:trHeight w:val="317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B30873C" w14:textId="77777777" w:rsidR="001B72F1" w:rsidRPr="001B72F1" w:rsidRDefault="001B72F1" w:rsidP="001B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  <w:t>2025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14:paraId="6FC0F225" w14:textId="77777777" w:rsidR="001B72F1" w:rsidRPr="001B72F1" w:rsidRDefault="001B72F1" w:rsidP="001B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  <w:t>29 741 333</w:t>
            </w:r>
          </w:p>
        </w:tc>
      </w:tr>
      <w:tr w:rsidR="001B72F1" w:rsidRPr="001B72F1" w14:paraId="30317A0C" w14:textId="77777777" w:rsidTr="00234D3E">
        <w:trPr>
          <w:divId w:val="389891760"/>
          <w:trHeight w:val="317"/>
        </w:trPr>
        <w:tc>
          <w:tcPr>
            <w:tcW w:w="960" w:type="dxa"/>
            <w:shd w:val="clear" w:color="000000" w:fill="E0E4F4"/>
            <w:noWrap/>
            <w:vAlign w:val="center"/>
            <w:hideMark/>
          </w:tcPr>
          <w:p w14:paraId="6D25754B" w14:textId="77777777" w:rsidR="001B72F1" w:rsidRPr="001B72F1" w:rsidRDefault="001B72F1" w:rsidP="001B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  <w:t>2024</w:t>
            </w:r>
          </w:p>
        </w:tc>
        <w:tc>
          <w:tcPr>
            <w:tcW w:w="1780" w:type="dxa"/>
            <w:shd w:val="clear" w:color="000000" w:fill="E0E4F4"/>
            <w:noWrap/>
            <w:vAlign w:val="center"/>
            <w:hideMark/>
          </w:tcPr>
          <w:p w14:paraId="5111BAA0" w14:textId="77777777" w:rsidR="001B72F1" w:rsidRPr="001B72F1" w:rsidRDefault="001B72F1" w:rsidP="001B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  <w:t>26 593 215</w:t>
            </w:r>
          </w:p>
        </w:tc>
      </w:tr>
      <w:tr w:rsidR="001B72F1" w:rsidRPr="001B72F1" w14:paraId="714627D7" w14:textId="77777777" w:rsidTr="00234D3E">
        <w:trPr>
          <w:divId w:val="389891760"/>
          <w:trHeight w:val="317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523E3BD" w14:textId="77777777" w:rsidR="001B72F1" w:rsidRPr="001B72F1" w:rsidRDefault="001B72F1" w:rsidP="001B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  <w:t>2023</w:t>
            </w:r>
          </w:p>
        </w:tc>
        <w:tc>
          <w:tcPr>
            <w:tcW w:w="1780" w:type="dxa"/>
            <w:shd w:val="clear" w:color="000000" w:fill="FFFFFF"/>
            <w:noWrap/>
            <w:vAlign w:val="center"/>
            <w:hideMark/>
          </w:tcPr>
          <w:p w14:paraId="7CE4D180" w14:textId="77777777" w:rsidR="001B72F1" w:rsidRPr="001B72F1" w:rsidRDefault="001B72F1" w:rsidP="001B7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Times New Roman"/>
                <w:color w:val="283772"/>
                <w:szCs w:val="24"/>
                <w:lang w:eastAsia="pl-PL"/>
              </w:rPr>
              <w:t>23 234 347</w:t>
            </w:r>
          </w:p>
        </w:tc>
      </w:tr>
    </w:tbl>
    <w:p w14:paraId="4FBEDD0C" w14:textId="6E09AFD5" w:rsidR="00234D3E" w:rsidRPr="00050164" w:rsidRDefault="005A6434" w:rsidP="00234D3E">
      <w:pPr>
        <w:pStyle w:val="Legenda"/>
        <w:rPr>
          <w:iCs w:val="0"/>
          <w:noProof/>
        </w:rPr>
      </w:pPr>
      <w:bookmarkStart w:id="7" w:name="_Toc216787123"/>
      <w:r w:rsidRPr="00050164">
        <w:rPr>
          <w:b/>
        </w:rPr>
        <w:t xml:space="preserve">Tabela </w:t>
      </w:r>
      <w:r w:rsidR="005C03F8" w:rsidRPr="00050164">
        <w:rPr>
          <w:b/>
        </w:rPr>
        <w:fldChar w:fldCharType="begin"/>
      </w:r>
      <w:r w:rsidR="005C03F8" w:rsidRPr="00050164">
        <w:rPr>
          <w:b/>
        </w:rPr>
        <w:instrText xml:space="preserve"> STYLEREF 1 \s </w:instrText>
      </w:r>
      <w:r w:rsidR="005C03F8" w:rsidRPr="00050164">
        <w:rPr>
          <w:b/>
        </w:rPr>
        <w:fldChar w:fldCharType="separate"/>
      </w:r>
      <w:r w:rsidR="005C03F8" w:rsidRPr="00050164">
        <w:rPr>
          <w:b/>
          <w:noProof/>
        </w:rPr>
        <w:t>3</w:t>
      </w:r>
      <w:r w:rsidR="005C03F8" w:rsidRPr="00050164">
        <w:rPr>
          <w:b/>
        </w:rPr>
        <w:fldChar w:fldCharType="end"/>
      </w:r>
      <w:r w:rsidR="005C03F8" w:rsidRPr="00050164">
        <w:rPr>
          <w:b/>
        </w:rPr>
        <w:t>.</w:t>
      </w:r>
      <w:r w:rsidR="005C03F8" w:rsidRPr="00050164">
        <w:rPr>
          <w:b/>
        </w:rPr>
        <w:fldChar w:fldCharType="begin"/>
      </w:r>
      <w:r w:rsidR="005C03F8" w:rsidRPr="00050164">
        <w:rPr>
          <w:b/>
        </w:rPr>
        <w:instrText xml:space="preserve"> SEQ Tabela \* ARABIC \s 1 </w:instrText>
      </w:r>
      <w:r w:rsidR="005C03F8" w:rsidRPr="00050164">
        <w:rPr>
          <w:b/>
        </w:rPr>
        <w:fldChar w:fldCharType="separate"/>
      </w:r>
      <w:r w:rsidR="005C03F8" w:rsidRPr="00050164">
        <w:rPr>
          <w:b/>
          <w:noProof/>
        </w:rPr>
        <w:t>1</w:t>
      </w:r>
      <w:r w:rsidR="005C03F8" w:rsidRPr="00050164">
        <w:rPr>
          <w:b/>
        </w:rPr>
        <w:fldChar w:fldCharType="end"/>
      </w:r>
      <w:r w:rsidRPr="00050164">
        <w:rPr>
          <w:noProof/>
        </w:rPr>
        <w:t xml:space="preserve"> Liczba pasażerów </w:t>
      </w:r>
      <w:r w:rsidR="00EA13B7" w:rsidRPr="00050164">
        <w:t xml:space="preserve">– </w:t>
      </w:r>
      <w:r w:rsidRPr="00050164">
        <w:rPr>
          <w:noProof/>
        </w:rPr>
        <w:t>narastająco</w:t>
      </w:r>
      <w:bookmarkEnd w:id="7"/>
      <w:r w:rsidR="00234D3E" w:rsidRPr="00050164">
        <w:rPr>
          <w:noProof/>
        </w:rPr>
        <w:br w:type="page"/>
      </w:r>
    </w:p>
    <w:p w14:paraId="1A975773" w14:textId="77777777" w:rsidR="00EF21A5" w:rsidRPr="00E401F0" w:rsidRDefault="00EF21A5" w:rsidP="005A6434">
      <w:pPr>
        <w:pStyle w:val="Nagwek1"/>
      </w:pPr>
      <w:bookmarkStart w:id="8" w:name="_Toc178665039"/>
      <w:r w:rsidRPr="00E401F0">
        <w:lastRenderedPageBreak/>
        <w:t>Przewozy pasażerskie - kwartał</w:t>
      </w:r>
      <w:bookmarkEnd w:id="8"/>
    </w:p>
    <w:p w14:paraId="3B02974B" w14:textId="00179BD0"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C34506">
        <w:rPr>
          <w:rFonts w:cstheme="minorHAnsi"/>
          <w:szCs w:val="24"/>
        </w:rPr>
        <w:t xml:space="preserve"> 2025</w:t>
      </w:r>
      <w:r w:rsidRPr="00E401F0">
        <w:rPr>
          <w:rFonts w:cstheme="minorHAnsi"/>
          <w:szCs w:val="24"/>
        </w:rPr>
        <w:t xml:space="preserve"> roku obsłużono </w:t>
      </w:r>
      <w:r w:rsidR="00C34506">
        <w:rPr>
          <w:rFonts w:cstheme="minorHAnsi"/>
          <w:szCs w:val="24"/>
        </w:rPr>
        <w:t>prawie 17,</w:t>
      </w:r>
      <w:r w:rsidR="007D1DB4">
        <w:rPr>
          <w:rFonts w:cstheme="minorHAnsi"/>
          <w:szCs w:val="24"/>
        </w:rPr>
        <w:t>5</w:t>
      </w:r>
      <w:r w:rsidR="007D1DB4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mln pasażerów, co dało wzrost o </w:t>
      </w:r>
      <w:r w:rsidR="00DF65A1">
        <w:rPr>
          <w:rFonts w:cstheme="minorHAnsi"/>
          <w:szCs w:val="24"/>
        </w:rPr>
        <w:t>11</w:t>
      </w:r>
      <w:r w:rsidR="00803369">
        <w:rPr>
          <w:rFonts w:cstheme="minorHAnsi"/>
          <w:szCs w:val="24"/>
        </w:rPr>
        <w:t>,</w:t>
      </w:r>
      <w:r w:rsidR="007D1DB4">
        <w:rPr>
          <w:rFonts w:cstheme="minorHAnsi"/>
          <w:szCs w:val="24"/>
        </w:rPr>
        <w:t>9</w:t>
      </w:r>
      <w:r w:rsidRPr="00E401F0">
        <w:rPr>
          <w:rFonts w:cstheme="minorHAnsi"/>
          <w:szCs w:val="24"/>
        </w:rPr>
        <w:t xml:space="preserve">%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="00DF65A1">
        <w:rPr>
          <w:rFonts w:cstheme="minorHAnsi"/>
          <w:szCs w:val="24"/>
        </w:rPr>
        <w:t xml:space="preserve"> 2024</w:t>
      </w:r>
      <w:r w:rsidRPr="00E401F0">
        <w:rPr>
          <w:rFonts w:cstheme="minorHAnsi"/>
          <w:szCs w:val="24"/>
        </w:rPr>
        <w:t xml:space="preserve"> roku</w:t>
      </w:r>
      <w:r w:rsidR="00DF65A1">
        <w:rPr>
          <w:rFonts w:cstheme="minorHAnsi"/>
          <w:szCs w:val="24"/>
        </w:rPr>
        <w:t xml:space="preserve"> i 26,</w:t>
      </w:r>
      <w:r w:rsidR="007D1DB4">
        <w:rPr>
          <w:rFonts w:cstheme="minorHAnsi"/>
          <w:szCs w:val="24"/>
        </w:rPr>
        <w:t>3</w:t>
      </w:r>
      <w:r w:rsidR="006F03D0">
        <w:rPr>
          <w:rFonts w:cstheme="minorHAnsi"/>
          <w:szCs w:val="24"/>
        </w:rPr>
        <w:t xml:space="preserve">% </w:t>
      </w:r>
      <w:r w:rsidR="00DF65A1">
        <w:rPr>
          <w:rFonts w:cstheme="minorHAnsi"/>
          <w:szCs w:val="24"/>
        </w:rPr>
        <w:t>względem tego samego okresu 2023</w:t>
      </w:r>
      <w:r w:rsidR="006F03D0">
        <w:rPr>
          <w:rFonts w:cstheme="minorHAnsi"/>
          <w:szCs w:val="24"/>
        </w:rPr>
        <w:t xml:space="preserve"> roku</w:t>
      </w:r>
      <w:r w:rsidRPr="00E401F0">
        <w:rPr>
          <w:rFonts w:cstheme="minorHAnsi"/>
          <w:szCs w:val="24"/>
        </w:rPr>
        <w:t xml:space="preserve">. </w:t>
      </w:r>
    </w:p>
    <w:p w14:paraId="6D72DAC8" w14:textId="1188CA36" w:rsidR="00527143" w:rsidRPr="00E401F0" w:rsidRDefault="00527143" w:rsidP="00803369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Średnia długość odcinka lotu wzrosła o </w:t>
      </w:r>
      <w:r w:rsidR="00DF65A1">
        <w:rPr>
          <w:rFonts w:cstheme="minorHAnsi"/>
          <w:szCs w:val="24"/>
        </w:rPr>
        <w:t>25</w:t>
      </w:r>
      <w:r w:rsidRPr="00E401F0">
        <w:rPr>
          <w:rFonts w:cstheme="minorHAnsi"/>
          <w:szCs w:val="24"/>
        </w:rPr>
        <w:t xml:space="preserve"> km względem ana</w:t>
      </w:r>
      <w:r w:rsidR="00DF65A1">
        <w:rPr>
          <w:rFonts w:cstheme="minorHAnsi"/>
          <w:szCs w:val="24"/>
        </w:rPr>
        <w:t>logicznego okresu roku 2024 (55 km do 2023</w:t>
      </w:r>
      <w:r w:rsidR="006F03D0">
        <w:rPr>
          <w:rFonts w:cstheme="minorHAnsi"/>
          <w:szCs w:val="24"/>
        </w:rPr>
        <w:t xml:space="preserve"> roku)</w:t>
      </w:r>
      <w:r w:rsidR="00C562CD">
        <w:rPr>
          <w:rFonts w:cstheme="minorHAnsi"/>
          <w:szCs w:val="24"/>
        </w:rPr>
        <w:t>. W przypadku</w:t>
      </w:r>
      <w:r w:rsidR="00803369">
        <w:rPr>
          <w:rFonts w:cstheme="minorHAnsi"/>
          <w:szCs w:val="24"/>
        </w:rPr>
        <w:t xml:space="preserve"> o</w:t>
      </w:r>
      <w:r w:rsidRPr="00E401F0">
        <w:rPr>
          <w:rFonts w:cstheme="minorHAnsi"/>
          <w:szCs w:val="24"/>
        </w:rPr>
        <w:t>ferowani</w:t>
      </w:r>
      <w:r w:rsidR="00C562CD">
        <w:rPr>
          <w:rFonts w:cstheme="minorHAnsi"/>
          <w:szCs w:val="24"/>
        </w:rPr>
        <w:t>a także doszło do wzrostu</w:t>
      </w:r>
      <w:r w:rsidR="002610D2">
        <w:rPr>
          <w:rFonts w:cstheme="minorHAnsi"/>
          <w:szCs w:val="24"/>
        </w:rPr>
        <w:t xml:space="preserve"> </w:t>
      </w:r>
      <w:r w:rsidR="00C562CD">
        <w:rPr>
          <w:rFonts w:cstheme="minorHAnsi"/>
          <w:szCs w:val="24"/>
        </w:rPr>
        <w:t>–</w:t>
      </w:r>
      <w:r w:rsidR="00C562CD">
        <w:rPr>
          <w:rFonts w:cstheme="minorHAnsi"/>
          <w:szCs w:val="24"/>
        </w:rPr>
        <w:softHyphen/>
        <w:t xml:space="preserve"> </w:t>
      </w:r>
      <w:r w:rsidRPr="00E401F0">
        <w:rPr>
          <w:rFonts w:cstheme="minorHAnsi"/>
          <w:szCs w:val="24"/>
        </w:rPr>
        <w:t xml:space="preserve">o </w:t>
      </w:r>
      <w:r w:rsidR="00DF65A1">
        <w:rPr>
          <w:rFonts w:cstheme="minorHAnsi"/>
          <w:szCs w:val="24"/>
        </w:rPr>
        <w:t>12,4</w:t>
      </w:r>
      <w:r w:rsidRPr="00E401F0">
        <w:rPr>
          <w:rFonts w:cstheme="minorHAnsi"/>
          <w:szCs w:val="24"/>
        </w:rPr>
        <w:t xml:space="preserve">% </w:t>
      </w:r>
      <w:r w:rsidR="00C562CD">
        <w:rPr>
          <w:rFonts w:cstheme="minorHAnsi"/>
          <w:szCs w:val="24"/>
        </w:rPr>
        <w:t xml:space="preserve">w porównaniu do </w:t>
      </w:r>
      <w:r w:rsidR="00803369">
        <w:rPr>
          <w:rFonts w:cstheme="minorHAnsi"/>
          <w:szCs w:val="24"/>
        </w:rPr>
        <w:t>202</w:t>
      </w:r>
      <w:r w:rsidR="00DF65A1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</w:t>
      </w:r>
      <w:r w:rsidR="00DF65A1">
        <w:rPr>
          <w:rFonts w:cstheme="minorHAnsi"/>
          <w:szCs w:val="24"/>
        </w:rPr>
        <w:t xml:space="preserve"> (+27,</w:t>
      </w:r>
      <w:r w:rsidR="007D1DB4">
        <w:rPr>
          <w:rFonts w:cstheme="minorHAnsi"/>
          <w:szCs w:val="24"/>
        </w:rPr>
        <w:t>4</w:t>
      </w:r>
      <w:r w:rsidR="00DF65A1">
        <w:rPr>
          <w:rFonts w:cstheme="minorHAnsi"/>
          <w:szCs w:val="24"/>
        </w:rPr>
        <w:t xml:space="preserve">% analogicznie do 2023 </w:t>
      </w:r>
      <w:r w:rsidR="006F03D0">
        <w:rPr>
          <w:rFonts w:cstheme="minorHAnsi"/>
          <w:szCs w:val="24"/>
        </w:rPr>
        <w:t>roku)</w:t>
      </w:r>
      <w:r w:rsidRPr="00E401F0">
        <w:rPr>
          <w:rFonts w:cstheme="minorHAnsi"/>
          <w:szCs w:val="24"/>
        </w:rPr>
        <w:t>.</w:t>
      </w:r>
    </w:p>
    <w:p w14:paraId="6A400FE2" w14:textId="62B2F57B"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Współczynnik wypełnienia miejsc (SF) </w:t>
      </w:r>
      <w:r w:rsidR="003D6BCE" w:rsidRPr="00E401F0">
        <w:rPr>
          <w:rFonts w:cstheme="minorHAnsi"/>
          <w:szCs w:val="24"/>
        </w:rPr>
        <w:t xml:space="preserve">wyniósł </w:t>
      </w:r>
      <w:r w:rsidR="003D6BCE">
        <w:rPr>
          <w:rFonts w:cstheme="minorHAnsi"/>
          <w:szCs w:val="24"/>
        </w:rPr>
        <w:t>85,3</w:t>
      </w:r>
      <w:r w:rsidR="003D6BCE" w:rsidRPr="00E401F0">
        <w:rPr>
          <w:rFonts w:cstheme="minorHAnsi"/>
          <w:szCs w:val="24"/>
        </w:rPr>
        <w:t>%</w:t>
      </w:r>
      <w:r w:rsidR="003E70F6">
        <w:rPr>
          <w:rFonts w:cstheme="minorHAnsi"/>
          <w:szCs w:val="24"/>
        </w:rPr>
        <w:t xml:space="preserve"> </w:t>
      </w:r>
      <w:r w:rsidR="003D6BCE">
        <w:rPr>
          <w:rFonts w:cstheme="minorHAnsi"/>
          <w:szCs w:val="24"/>
        </w:rPr>
        <w:t xml:space="preserve">i </w:t>
      </w:r>
      <w:r w:rsidR="00803369">
        <w:rPr>
          <w:rFonts w:cstheme="minorHAnsi"/>
          <w:szCs w:val="24"/>
        </w:rPr>
        <w:t>spadł</w:t>
      </w:r>
      <w:r w:rsidRPr="00E401F0">
        <w:rPr>
          <w:rFonts w:cstheme="minorHAnsi"/>
          <w:szCs w:val="24"/>
        </w:rPr>
        <w:t xml:space="preserve"> o </w:t>
      </w:r>
      <w:r w:rsidR="00DF65A1">
        <w:rPr>
          <w:rFonts w:cstheme="minorHAnsi"/>
          <w:szCs w:val="24"/>
        </w:rPr>
        <w:t>0,4</w:t>
      </w:r>
      <w:r w:rsidRPr="00E401F0">
        <w:rPr>
          <w:rFonts w:cstheme="minorHAnsi"/>
          <w:szCs w:val="24"/>
        </w:rPr>
        <w:t xml:space="preserve"> </w:t>
      </w:r>
      <w:r w:rsidR="00803369">
        <w:rPr>
          <w:rFonts w:cstheme="minorHAnsi"/>
          <w:szCs w:val="24"/>
        </w:rPr>
        <w:t>punktu procentowego</w:t>
      </w:r>
      <w:r w:rsidRPr="00E401F0">
        <w:rPr>
          <w:rFonts w:cstheme="minorHAnsi"/>
          <w:szCs w:val="24"/>
        </w:rPr>
        <w:t xml:space="preserve"> w porównaniu do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="00DF65A1">
        <w:rPr>
          <w:rFonts w:cstheme="minorHAnsi"/>
          <w:szCs w:val="24"/>
        </w:rPr>
        <w:t xml:space="preserve"> 2024</w:t>
      </w:r>
      <w:r w:rsidR="003D6BCE">
        <w:rPr>
          <w:rFonts w:cstheme="minorHAnsi"/>
          <w:szCs w:val="24"/>
        </w:rPr>
        <w:t xml:space="preserve"> roku </w:t>
      </w:r>
      <w:r w:rsidR="006F03D0">
        <w:rPr>
          <w:rFonts w:cstheme="minorHAnsi"/>
          <w:szCs w:val="24"/>
        </w:rPr>
        <w:t>(</w:t>
      </w:r>
      <w:r w:rsidR="007D1DB4">
        <w:rPr>
          <w:rFonts w:cstheme="minorHAnsi"/>
          <w:szCs w:val="24"/>
        </w:rPr>
        <w:t xml:space="preserve">był też </w:t>
      </w:r>
      <w:r w:rsidR="003D6BCE">
        <w:rPr>
          <w:rFonts w:cstheme="minorHAnsi"/>
          <w:szCs w:val="24"/>
        </w:rPr>
        <w:t xml:space="preserve">niższy </w:t>
      </w:r>
      <w:r w:rsidR="006F03D0">
        <w:rPr>
          <w:rFonts w:cstheme="minorHAnsi"/>
          <w:szCs w:val="24"/>
        </w:rPr>
        <w:t xml:space="preserve">o </w:t>
      </w:r>
      <w:r w:rsidR="00DF65A1">
        <w:rPr>
          <w:rFonts w:cstheme="minorHAnsi"/>
          <w:szCs w:val="24"/>
        </w:rPr>
        <w:t>0,7</w:t>
      </w:r>
      <w:r w:rsidR="006F03D0">
        <w:rPr>
          <w:rFonts w:cstheme="minorHAnsi"/>
          <w:szCs w:val="24"/>
        </w:rPr>
        <w:t xml:space="preserve"> punktu proce</w:t>
      </w:r>
      <w:r w:rsidR="00DF65A1">
        <w:rPr>
          <w:rFonts w:cstheme="minorHAnsi"/>
          <w:szCs w:val="24"/>
        </w:rPr>
        <w:t>ntowego analogicznie do 2023</w:t>
      </w:r>
      <w:r w:rsidR="006F03D0">
        <w:rPr>
          <w:rFonts w:cstheme="minorHAnsi"/>
          <w:szCs w:val="24"/>
        </w:rPr>
        <w:t xml:space="preserve"> roku).</w:t>
      </w:r>
      <w:r w:rsidRPr="00E401F0">
        <w:rPr>
          <w:rFonts w:cstheme="minorHAnsi"/>
          <w:szCs w:val="24"/>
        </w:rPr>
        <w:t xml:space="preserve"> Współczynnik LF wyniósł </w:t>
      </w:r>
      <w:r w:rsidR="00DF65A1">
        <w:rPr>
          <w:rFonts w:cstheme="minorHAnsi"/>
          <w:szCs w:val="24"/>
        </w:rPr>
        <w:t>87</w:t>
      </w:r>
      <w:r w:rsidRPr="00E401F0">
        <w:rPr>
          <w:rFonts w:cstheme="minorHAnsi"/>
          <w:szCs w:val="24"/>
        </w:rPr>
        <w:t xml:space="preserve">% i </w:t>
      </w:r>
      <w:r w:rsidR="00803369">
        <w:rPr>
          <w:rFonts w:cstheme="minorHAnsi"/>
          <w:szCs w:val="24"/>
        </w:rPr>
        <w:t>spadł</w:t>
      </w:r>
      <w:r w:rsidRPr="00E401F0">
        <w:rPr>
          <w:rFonts w:cstheme="minorHAnsi"/>
          <w:szCs w:val="24"/>
        </w:rPr>
        <w:t xml:space="preserve"> o </w:t>
      </w:r>
      <w:r w:rsidR="00FB3390">
        <w:rPr>
          <w:rFonts w:cstheme="minorHAnsi"/>
          <w:szCs w:val="24"/>
        </w:rPr>
        <w:t>0,6</w:t>
      </w:r>
      <w:r w:rsidRPr="00E401F0">
        <w:rPr>
          <w:rFonts w:cstheme="minorHAnsi"/>
          <w:szCs w:val="24"/>
        </w:rPr>
        <w:t xml:space="preserve"> </w:t>
      </w:r>
      <w:r w:rsidR="00803369">
        <w:rPr>
          <w:rFonts w:cstheme="minorHAnsi"/>
          <w:szCs w:val="24"/>
        </w:rPr>
        <w:t>punktu procentowego</w:t>
      </w:r>
      <w:r w:rsidRPr="00E401F0">
        <w:rPr>
          <w:rFonts w:cstheme="minorHAnsi"/>
          <w:szCs w:val="24"/>
        </w:rPr>
        <w:t xml:space="preserve">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DF65A1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</w:t>
      </w:r>
      <w:r w:rsidR="00DF65A1">
        <w:rPr>
          <w:rFonts w:cstheme="minorHAnsi"/>
          <w:szCs w:val="24"/>
        </w:rPr>
        <w:t>, a także o 0,7 względem drugiego kwartału 2023</w:t>
      </w:r>
      <w:r w:rsidR="006F03D0">
        <w:rPr>
          <w:rFonts w:cstheme="minorHAnsi"/>
          <w:szCs w:val="24"/>
        </w:rPr>
        <w:t xml:space="preserve"> roku</w:t>
      </w:r>
      <w:r w:rsidRPr="00E401F0">
        <w:rPr>
          <w:rFonts w:cstheme="minorHAnsi"/>
          <w:szCs w:val="24"/>
        </w:rPr>
        <w:t>.</w:t>
      </w:r>
    </w:p>
    <w:p w14:paraId="54FC96D7" w14:textId="5292F6B8" w:rsidR="00DA764F" w:rsidRDefault="00DA764F" w:rsidP="00DA764F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1EC1042F" wp14:editId="022252FE">
            <wp:extent cx="4680000" cy="2340000"/>
            <wp:effectExtent l="0" t="0" r="6350" b="3175"/>
            <wp:docPr id="1" name="Wykres 1" descr="Wykres przedstawia łączną liczbę przewiezionych pasażerów w danym kwartale wraz z uwzględnieniem analogicznych okresów z poprzednich 2 lat. Dane przedstawione w Tabeli 4.1 poniżej." title="Wykres 4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E97F3BB" w14:textId="73F78A17" w:rsidR="00527143" w:rsidRPr="00050164" w:rsidRDefault="00DA764F" w:rsidP="00E64CE3">
      <w:pPr>
        <w:pStyle w:val="Legenda"/>
        <w:rPr>
          <w:rFonts w:cstheme="minorHAnsi"/>
          <w:szCs w:val="24"/>
        </w:rPr>
      </w:pPr>
      <w:bookmarkStart w:id="9" w:name="_Toc219462781"/>
      <w:r w:rsidRPr="00050164">
        <w:rPr>
          <w:b/>
        </w:rPr>
        <w:t xml:space="preserve">Wykres 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STYLEREF 1 \s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4</w:t>
      </w:r>
      <w:r w:rsidR="00F27BCD" w:rsidRPr="00050164">
        <w:rPr>
          <w:b/>
        </w:rPr>
        <w:fldChar w:fldCharType="end"/>
      </w:r>
      <w:r w:rsidR="00F27BCD" w:rsidRPr="00050164">
        <w:rPr>
          <w:b/>
        </w:rPr>
        <w:t>.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SEQ Wykres \* ARABIC \s 1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1</w:t>
      </w:r>
      <w:r w:rsidR="00F27BCD" w:rsidRPr="00050164">
        <w:rPr>
          <w:b/>
        </w:rPr>
        <w:fldChar w:fldCharType="end"/>
      </w:r>
      <w:r w:rsidR="006A4C6D" w:rsidRPr="00050164">
        <w:rPr>
          <w:noProof/>
        </w:rPr>
        <w:t xml:space="preserve"> </w:t>
      </w:r>
      <w:r w:rsidR="001B72F1" w:rsidRPr="00050164">
        <w:rPr>
          <w:noProof/>
        </w:rPr>
        <w:t xml:space="preserve">Liczba pasażerów (mln) – kwartał – wykres przedstawia łączną liczbę przewiezionych pasażerów w drugim kwartale 2025 roku wraz z uwzględnieniem lat 2024 </w:t>
      </w:r>
      <w:r w:rsidR="001B72F1" w:rsidRPr="00050164">
        <w:rPr>
          <w:iCs w:val="0"/>
          <w:szCs w:val="22"/>
        </w:rPr>
        <w:t>i</w:t>
      </w:r>
      <w:r w:rsidR="001B72F1" w:rsidRPr="00050164">
        <w:rPr>
          <w:noProof/>
        </w:rPr>
        <w:t xml:space="preserve"> 2023</w:t>
      </w:r>
      <w:bookmarkEnd w:id="9"/>
    </w:p>
    <w:tbl>
      <w:tblPr>
        <w:tblW w:w="310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500"/>
      </w:tblGrid>
      <w:tr w:rsidR="003B31CA" w:rsidRPr="003B31CA" w14:paraId="7777DE8F" w14:textId="77777777" w:rsidTr="00234D3E">
        <w:trPr>
          <w:trHeight w:val="317"/>
          <w:jc w:val="center"/>
        </w:trPr>
        <w:tc>
          <w:tcPr>
            <w:tcW w:w="1600" w:type="dxa"/>
            <w:shd w:val="clear" w:color="000000" w:fill="283772"/>
            <w:noWrap/>
            <w:vAlign w:val="center"/>
            <w:hideMark/>
          </w:tcPr>
          <w:p w14:paraId="766E0307" w14:textId="77777777" w:rsidR="003B31CA" w:rsidRPr="003B31CA" w:rsidRDefault="003B31C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  <w:t>Rok</w:t>
            </w:r>
          </w:p>
        </w:tc>
        <w:tc>
          <w:tcPr>
            <w:tcW w:w="1500" w:type="dxa"/>
            <w:shd w:val="clear" w:color="000000" w:fill="283772"/>
            <w:noWrap/>
            <w:vAlign w:val="center"/>
            <w:hideMark/>
          </w:tcPr>
          <w:p w14:paraId="75772949" w14:textId="77777777" w:rsidR="003B31CA" w:rsidRPr="003B31CA" w:rsidRDefault="003B31C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  <w:t>Kwartał</w:t>
            </w:r>
          </w:p>
        </w:tc>
      </w:tr>
      <w:tr w:rsidR="003B31CA" w:rsidRPr="003B31CA" w14:paraId="116E31E8" w14:textId="77777777" w:rsidTr="00234D3E">
        <w:trPr>
          <w:trHeight w:val="317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14:paraId="4CA21CB1" w14:textId="77777777" w:rsidR="003B31CA" w:rsidRPr="003B31CA" w:rsidRDefault="003B31C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2025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14:paraId="02339F2D" w14:textId="77777777" w:rsidR="003B31CA" w:rsidRPr="003B31CA" w:rsidRDefault="003B31C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17 451 070</w:t>
            </w:r>
          </w:p>
        </w:tc>
      </w:tr>
      <w:tr w:rsidR="003B31CA" w:rsidRPr="003B31CA" w14:paraId="37545C1C" w14:textId="77777777" w:rsidTr="00234D3E">
        <w:trPr>
          <w:trHeight w:val="317"/>
          <w:jc w:val="center"/>
        </w:trPr>
        <w:tc>
          <w:tcPr>
            <w:tcW w:w="1600" w:type="dxa"/>
            <w:shd w:val="clear" w:color="000000" w:fill="E0E4F4"/>
            <w:noWrap/>
            <w:vAlign w:val="center"/>
            <w:hideMark/>
          </w:tcPr>
          <w:p w14:paraId="4B7D395F" w14:textId="77777777" w:rsidR="003B31CA" w:rsidRPr="003B31CA" w:rsidRDefault="003B31C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2024</w:t>
            </w:r>
          </w:p>
        </w:tc>
        <w:tc>
          <w:tcPr>
            <w:tcW w:w="1500" w:type="dxa"/>
            <w:shd w:val="clear" w:color="000000" w:fill="E0E4F4"/>
            <w:noWrap/>
            <w:vAlign w:val="center"/>
            <w:hideMark/>
          </w:tcPr>
          <w:p w14:paraId="1E0EC2D0" w14:textId="77777777" w:rsidR="003B31CA" w:rsidRPr="003B31CA" w:rsidRDefault="003B31C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15 600 776</w:t>
            </w:r>
          </w:p>
        </w:tc>
      </w:tr>
      <w:tr w:rsidR="003B31CA" w:rsidRPr="003B31CA" w14:paraId="32D9A11C" w14:textId="77777777" w:rsidTr="00234D3E">
        <w:trPr>
          <w:trHeight w:val="317"/>
          <w:jc w:val="center"/>
        </w:trPr>
        <w:tc>
          <w:tcPr>
            <w:tcW w:w="1600" w:type="dxa"/>
            <w:shd w:val="clear" w:color="000000" w:fill="FFFFFF"/>
            <w:noWrap/>
            <w:vAlign w:val="center"/>
            <w:hideMark/>
          </w:tcPr>
          <w:p w14:paraId="3A5E8101" w14:textId="77777777" w:rsidR="003B31CA" w:rsidRPr="003B31CA" w:rsidRDefault="003B31C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2023</w:t>
            </w:r>
          </w:p>
        </w:tc>
        <w:tc>
          <w:tcPr>
            <w:tcW w:w="1500" w:type="dxa"/>
            <w:shd w:val="clear" w:color="000000" w:fill="FFFFFF"/>
            <w:noWrap/>
            <w:vAlign w:val="center"/>
            <w:hideMark/>
          </w:tcPr>
          <w:p w14:paraId="5687CD3E" w14:textId="77777777" w:rsidR="003B31CA" w:rsidRPr="003B31CA" w:rsidRDefault="003B31C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13 820 516</w:t>
            </w:r>
          </w:p>
        </w:tc>
      </w:tr>
    </w:tbl>
    <w:p w14:paraId="355522B5" w14:textId="1A32D328" w:rsidR="00234D3E" w:rsidRPr="00050164" w:rsidRDefault="00FE33F3" w:rsidP="00234D3E">
      <w:pPr>
        <w:pStyle w:val="Legenda"/>
        <w:rPr>
          <w:iCs w:val="0"/>
          <w:noProof/>
        </w:rPr>
      </w:pPr>
      <w:bookmarkStart w:id="10" w:name="_Toc216787124"/>
      <w:r w:rsidRPr="00050164">
        <w:rPr>
          <w:b/>
        </w:rPr>
        <w:t xml:space="preserve">Tabela </w:t>
      </w:r>
      <w:r w:rsidR="005C03F8" w:rsidRPr="00050164">
        <w:rPr>
          <w:b/>
        </w:rPr>
        <w:fldChar w:fldCharType="begin"/>
      </w:r>
      <w:r w:rsidR="005C03F8" w:rsidRPr="00050164">
        <w:rPr>
          <w:b/>
        </w:rPr>
        <w:instrText xml:space="preserve"> STYLEREF 1 \s </w:instrText>
      </w:r>
      <w:r w:rsidR="005C03F8" w:rsidRPr="00050164">
        <w:rPr>
          <w:b/>
        </w:rPr>
        <w:fldChar w:fldCharType="separate"/>
      </w:r>
      <w:r w:rsidR="005C03F8" w:rsidRPr="00050164">
        <w:rPr>
          <w:b/>
          <w:noProof/>
        </w:rPr>
        <w:t>4</w:t>
      </w:r>
      <w:r w:rsidR="005C03F8" w:rsidRPr="00050164">
        <w:rPr>
          <w:b/>
        </w:rPr>
        <w:fldChar w:fldCharType="end"/>
      </w:r>
      <w:r w:rsidR="005C03F8" w:rsidRPr="00050164">
        <w:rPr>
          <w:b/>
        </w:rPr>
        <w:t>.</w:t>
      </w:r>
      <w:r w:rsidR="005C03F8" w:rsidRPr="00050164">
        <w:rPr>
          <w:b/>
        </w:rPr>
        <w:fldChar w:fldCharType="begin"/>
      </w:r>
      <w:r w:rsidR="005C03F8" w:rsidRPr="00050164">
        <w:rPr>
          <w:b/>
        </w:rPr>
        <w:instrText xml:space="preserve"> SEQ Tabela \* ARABIC \s 1 </w:instrText>
      </w:r>
      <w:r w:rsidR="005C03F8" w:rsidRPr="00050164">
        <w:rPr>
          <w:b/>
        </w:rPr>
        <w:fldChar w:fldCharType="separate"/>
      </w:r>
      <w:r w:rsidR="005C03F8" w:rsidRPr="00050164">
        <w:rPr>
          <w:b/>
          <w:noProof/>
        </w:rPr>
        <w:t>1</w:t>
      </w:r>
      <w:r w:rsidR="005C03F8" w:rsidRPr="00050164">
        <w:rPr>
          <w:b/>
        </w:rPr>
        <w:fldChar w:fldCharType="end"/>
      </w:r>
      <w:r w:rsidRPr="00050164">
        <w:rPr>
          <w:noProof/>
        </w:rPr>
        <w:t xml:space="preserve"> Liczba pasażerów</w:t>
      </w:r>
      <w:r w:rsidR="00A32D8B" w:rsidRPr="00050164">
        <w:rPr>
          <w:noProof/>
        </w:rPr>
        <w:t xml:space="preserve"> </w:t>
      </w:r>
      <w:r w:rsidRPr="00050164">
        <w:rPr>
          <w:noProof/>
        </w:rPr>
        <w:t>– kwartał</w:t>
      </w:r>
      <w:bookmarkEnd w:id="10"/>
      <w:r w:rsidR="00234D3E" w:rsidRPr="00050164">
        <w:rPr>
          <w:noProof/>
        </w:rPr>
        <w:br w:type="page"/>
      </w:r>
    </w:p>
    <w:p w14:paraId="5DCFCF7D" w14:textId="73780AEC" w:rsidR="00527143" w:rsidRPr="00E401F0" w:rsidRDefault="00EF21A5" w:rsidP="005A6434">
      <w:pPr>
        <w:pStyle w:val="Nagwek1"/>
      </w:pPr>
      <w:bookmarkStart w:id="11" w:name="_Toc178665040"/>
      <w:r w:rsidRPr="00E401F0">
        <w:lastRenderedPageBreak/>
        <w:t>Operacje lotnicze - narastająco</w:t>
      </w:r>
      <w:bookmarkEnd w:id="11"/>
    </w:p>
    <w:p w14:paraId="0857E207" w14:textId="47C22F91" w:rsidR="00527143" w:rsidRPr="00E401F0" w:rsidRDefault="00247D8D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="00895074">
        <w:rPr>
          <w:rFonts w:cstheme="minorHAnsi"/>
          <w:szCs w:val="24"/>
        </w:rPr>
        <w:t xml:space="preserve"> pierwszym półroczu 2025 </w:t>
      </w:r>
      <w:r w:rsidR="00C562CD">
        <w:rPr>
          <w:rFonts w:cstheme="minorHAnsi"/>
          <w:szCs w:val="24"/>
        </w:rPr>
        <w:t xml:space="preserve">roku </w:t>
      </w:r>
      <w:r>
        <w:rPr>
          <w:rFonts w:cstheme="minorHAnsi"/>
          <w:szCs w:val="24"/>
        </w:rPr>
        <w:t>wykonano ponad</w:t>
      </w:r>
      <w:r w:rsidR="00895074">
        <w:rPr>
          <w:rFonts w:cstheme="minorHAnsi"/>
          <w:szCs w:val="24"/>
        </w:rPr>
        <w:t xml:space="preserve"> 215,7 tys.</w:t>
      </w:r>
      <w:r w:rsidRPr="00E401F0">
        <w:rPr>
          <w:rFonts w:cstheme="minorHAnsi"/>
          <w:szCs w:val="24"/>
        </w:rPr>
        <w:t xml:space="preserve"> operacji </w:t>
      </w:r>
      <w:r>
        <w:rPr>
          <w:rFonts w:cstheme="minorHAnsi"/>
          <w:szCs w:val="24"/>
        </w:rPr>
        <w:t xml:space="preserve">lotniczych co oznacza, że </w:t>
      </w:r>
      <w:r w:rsidR="009E6849">
        <w:rPr>
          <w:rFonts w:cstheme="minorHAnsi"/>
          <w:szCs w:val="24"/>
        </w:rPr>
        <w:t>ich ilość wzrosł</w:t>
      </w:r>
      <w:r w:rsidR="00C562CD">
        <w:rPr>
          <w:rFonts w:cstheme="minorHAnsi"/>
          <w:szCs w:val="24"/>
        </w:rPr>
        <w:t>a</w:t>
      </w:r>
      <w:r w:rsidR="00895074">
        <w:rPr>
          <w:rFonts w:cstheme="minorHAnsi"/>
          <w:szCs w:val="24"/>
        </w:rPr>
        <w:t xml:space="preserve"> w porównaniu do analogicznych okresów 2024 i 2023 roku</w:t>
      </w:r>
      <w:r w:rsidR="00527143" w:rsidRPr="00E401F0">
        <w:rPr>
          <w:rFonts w:cstheme="minorHAnsi"/>
          <w:szCs w:val="24"/>
        </w:rPr>
        <w:t xml:space="preserve"> </w:t>
      </w:r>
      <w:r w:rsidR="0034528C">
        <w:rPr>
          <w:rFonts w:cstheme="minorHAnsi"/>
          <w:szCs w:val="24"/>
        </w:rPr>
        <w:t>(</w:t>
      </w:r>
      <w:r w:rsidR="00895074">
        <w:rPr>
          <w:rFonts w:cstheme="minorHAnsi"/>
          <w:szCs w:val="24"/>
        </w:rPr>
        <w:t xml:space="preserve">kolejno </w:t>
      </w:r>
      <w:r w:rsidR="00527143" w:rsidRPr="00E401F0">
        <w:rPr>
          <w:rFonts w:cstheme="minorHAnsi"/>
          <w:szCs w:val="24"/>
        </w:rPr>
        <w:t xml:space="preserve">o </w:t>
      </w:r>
      <w:r w:rsidR="00BB0658">
        <w:rPr>
          <w:rFonts w:cstheme="minorHAnsi"/>
          <w:szCs w:val="24"/>
        </w:rPr>
        <w:t>9,3</w:t>
      </w:r>
      <w:r w:rsidR="0031420E">
        <w:rPr>
          <w:rFonts w:cstheme="minorHAnsi"/>
          <w:szCs w:val="24"/>
        </w:rPr>
        <w:t>%</w:t>
      </w:r>
      <w:r w:rsidR="00527143" w:rsidRPr="00E401F0">
        <w:rPr>
          <w:rFonts w:cstheme="minorHAnsi"/>
          <w:szCs w:val="24"/>
        </w:rPr>
        <w:t xml:space="preserve"> </w:t>
      </w:r>
      <w:r w:rsidR="00895074">
        <w:rPr>
          <w:rFonts w:cstheme="minorHAnsi"/>
          <w:szCs w:val="24"/>
        </w:rPr>
        <w:t>i o 24,</w:t>
      </w:r>
      <w:r w:rsidR="009E6849">
        <w:rPr>
          <w:rFonts w:cstheme="minorHAnsi"/>
          <w:szCs w:val="24"/>
        </w:rPr>
        <w:t>8</w:t>
      </w:r>
      <w:r w:rsidR="00895074">
        <w:rPr>
          <w:rFonts w:cstheme="minorHAnsi"/>
          <w:szCs w:val="24"/>
        </w:rPr>
        <w:t>%</w:t>
      </w:r>
      <w:r w:rsidR="0034528C">
        <w:rPr>
          <w:rFonts w:cstheme="minorHAnsi"/>
          <w:szCs w:val="24"/>
        </w:rPr>
        <w:t>)</w:t>
      </w:r>
      <w:r w:rsidR="00895074">
        <w:rPr>
          <w:rFonts w:cstheme="minorHAnsi"/>
          <w:szCs w:val="24"/>
        </w:rPr>
        <w:t>.</w:t>
      </w:r>
    </w:p>
    <w:p w14:paraId="2E86E46F" w14:textId="5C90531C" w:rsidR="0074694C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Średnia liczba pasażerów</w:t>
      </w:r>
      <w:r w:rsidR="00FB1962">
        <w:rPr>
          <w:rFonts w:cstheme="minorHAnsi"/>
          <w:szCs w:val="24"/>
        </w:rPr>
        <w:t xml:space="preserve"> na operację lotniczą</w:t>
      </w:r>
      <w:r w:rsidRPr="00E401F0">
        <w:rPr>
          <w:rFonts w:cstheme="minorHAnsi"/>
          <w:szCs w:val="24"/>
        </w:rPr>
        <w:t xml:space="preserve"> wyniosła </w:t>
      </w:r>
      <w:r w:rsidR="00FB1962">
        <w:rPr>
          <w:rFonts w:cstheme="minorHAnsi"/>
          <w:szCs w:val="24"/>
        </w:rPr>
        <w:t>13</w:t>
      </w:r>
      <w:r w:rsidR="009E6849">
        <w:rPr>
          <w:rFonts w:cstheme="minorHAnsi"/>
          <w:szCs w:val="24"/>
        </w:rPr>
        <w:t>9</w:t>
      </w:r>
      <w:r w:rsidRPr="00E401F0">
        <w:rPr>
          <w:rFonts w:cstheme="minorHAnsi"/>
          <w:szCs w:val="24"/>
        </w:rPr>
        <w:t xml:space="preserve">. </w:t>
      </w:r>
      <w:r w:rsidR="00C6550B">
        <w:rPr>
          <w:rFonts w:cstheme="minorHAnsi"/>
          <w:szCs w:val="24"/>
        </w:rPr>
        <w:t>Wzrosła zatem o 3</w:t>
      </w:r>
      <w:r w:rsidR="00C6550B" w:rsidRPr="007D383E">
        <w:rPr>
          <w:rFonts w:cstheme="minorHAnsi"/>
          <w:szCs w:val="24"/>
        </w:rPr>
        <w:t> pasażerów w stosunku do analogiczn</w:t>
      </w:r>
      <w:r w:rsidR="00C6550B">
        <w:rPr>
          <w:rFonts w:cstheme="minorHAnsi"/>
          <w:szCs w:val="24"/>
        </w:rPr>
        <w:t>ych okresów 2024 i 2023</w:t>
      </w:r>
      <w:r w:rsidR="00C6550B" w:rsidRPr="007D383E">
        <w:rPr>
          <w:rFonts w:cstheme="minorHAnsi"/>
          <w:szCs w:val="24"/>
        </w:rPr>
        <w:t xml:space="preserve"> roku</w:t>
      </w:r>
      <w:r w:rsidRPr="00E401F0">
        <w:rPr>
          <w:rFonts w:cstheme="minorHAnsi"/>
          <w:szCs w:val="24"/>
        </w:rPr>
        <w:t>.</w:t>
      </w:r>
      <w:r w:rsidR="00AD3D3E">
        <w:rPr>
          <w:rFonts w:cstheme="minorHAnsi"/>
          <w:szCs w:val="24"/>
        </w:rPr>
        <w:t xml:space="preserve"> Warto tu podkreślić, że to przewoźnicy niskokosztowi odnotowali większy wzrost </w:t>
      </w:r>
      <w:r w:rsidR="00AD3D3E" w:rsidRPr="00AD3D3E">
        <w:rPr>
          <w:rFonts w:cstheme="minorHAnsi"/>
          <w:szCs w:val="24"/>
        </w:rPr>
        <w:t>liczby pasażerów przypadających średnio na jedną operację</w:t>
      </w:r>
      <w:r w:rsidR="00AD3D3E">
        <w:rPr>
          <w:rFonts w:cstheme="minorHAnsi"/>
          <w:szCs w:val="24"/>
        </w:rPr>
        <w:t xml:space="preserve"> niż przewoźnicy sieciowi i czarterowi</w:t>
      </w:r>
      <w:r w:rsidR="00247D8D">
        <w:rPr>
          <w:rFonts w:cstheme="minorHAnsi"/>
          <w:szCs w:val="24"/>
        </w:rPr>
        <w:t>,</w:t>
      </w:r>
      <w:r w:rsidR="00AD3D3E">
        <w:rPr>
          <w:rFonts w:cstheme="minorHAnsi"/>
          <w:szCs w:val="24"/>
        </w:rPr>
        <w:t xml:space="preserve"> przewożąc o 5 pasażerów więcej </w:t>
      </w:r>
      <w:r w:rsidR="0034528C">
        <w:rPr>
          <w:rFonts w:cstheme="minorHAnsi"/>
          <w:szCs w:val="24"/>
        </w:rPr>
        <w:t>niż w</w:t>
      </w:r>
      <w:r w:rsidR="00AD3D3E">
        <w:rPr>
          <w:rFonts w:cstheme="minorHAnsi"/>
          <w:szCs w:val="24"/>
        </w:rPr>
        <w:t xml:space="preserve"> pierwszej połow</w:t>
      </w:r>
      <w:r w:rsidR="0034528C">
        <w:rPr>
          <w:rFonts w:cstheme="minorHAnsi"/>
          <w:szCs w:val="24"/>
        </w:rPr>
        <w:t>ie</w:t>
      </w:r>
      <w:r w:rsidR="00AD3D3E">
        <w:rPr>
          <w:rFonts w:cstheme="minorHAnsi"/>
          <w:szCs w:val="24"/>
        </w:rPr>
        <w:t xml:space="preserve"> 2024 roku</w:t>
      </w:r>
      <w:r w:rsidR="0034528C">
        <w:rPr>
          <w:rFonts w:cstheme="minorHAnsi"/>
          <w:szCs w:val="24"/>
        </w:rPr>
        <w:t xml:space="preserve"> (</w:t>
      </w:r>
      <w:r w:rsidR="00AD3D3E">
        <w:rPr>
          <w:rFonts w:cstheme="minorHAnsi"/>
          <w:szCs w:val="24"/>
        </w:rPr>
        <w:t>względem 2023 roku wzrost o 3 pasażerów</w:t>
      </w:r>
      <w:r w:rsidR="0034528C">
        <w:rPr>
          <w:rFonts w:cstheme="minorHAnsi"/>
          <w:szCs w:val="24"/>
        </w:rPr>
        <w:t>)</w:t>
      </w:r>
      <w:r w:rsidR="00AD3D3E">
        <w:rPr>
          <w:rFonts w:cstheme="minorHAnsi"/>
          <w:szCs w:val="24"/>
        </w:rPr>
        <w:t>.</w:t>
      </w:r>
      <w:r w:rsidR="003E70F6">
        <w:rPr>
          <w:rFonts w:cstheme="minorHAnsi"/>
          <w:szCs w:val="24"/>
        </w:rPr>
        <w:t xml:space="preserve"> </w:t>
      </w:r>
      <w:r w:rsidR="00247D8D" w:rsidRPr="00247D8D">
        <w:rPr>
          <w:rFonts w:cstheme="minorHAnsi"/>
          <w:szCs w:val="24"/>
        </w:rPr>
        <w:t xml:space="preserve">W związku z tym S/F przewoźników niskokosztowych wzrósł w pierwszym </w:t>
      </w:r>
      <w:r w:rsidR="00247D8D">
        <w:rPr>
          <w:rFonts w:cstheme="minorHAnsi"/>
          <w:szCs w:val="24"/>
        </w:rPr>
        <w:t>półroczu o 1,5 punktu procentowego w porównaniu do</w:t>
      </w:r>
      <w:r w:rsidR="00981E9F">
        <w:rPr>
          <w:rFonts w:cstheme="minorHAnsi"/>
          <w:szCs w:val="24"/>
        </w:rPr>
        <w:t xml:space="preserve"> analogicznego okresu</w:t>
      </w:r>
      <w:r w:rsidR="00247D8D">
        <w:rPr>
          <w:rFonts w:cstheme="minorHAnsi"/>
          <w:szCs w:val="24"/>
        </w:rPr>
        <w:t xml:space="preserve"> </w:t>
      </w:r>
      <w:r w:rsidR="00981E9F">
        <w:rPr>
          <w:rFonts w:cstheme="minorHAnsi"/>
          <w:szCs w:val="24"/>
        </w:rPr>
        <w:t>2024</w:t>
      </w:r>
      <w:r w:rsidR="0074694C">
        <w:rPr>
          <w:rFonts w:cstheme="minorHAnsi"/>
          <w:szCs w:val="24"/>
        </w:rPr>
        <w:t xml:space="preserve"> </w:t>
      </w:r>
      <w:r w:rsidR="00981E9F">
        <w:rPr>
          <w:rFonts w:cstheme="minorHAnsi"/>
          <w:szCs w:val="24"/>
        </w:rPr>
        <w:t>r</w:t>
      </w:r>
      <w:r w:rsidR="00C562CD">
        <w:rPr>
          <w:rFonts w:cstheme="minorHAnsi"/>
          <w:szCs w:val="24"/>
        </w:rPr>
        <w:t>oku</w:t>
      </w:r>
      <w:r w:rsidR="00247D8D">
        <w:rPr>
          <w:rFonts w:cstheme="minorHAnsi"/>
          <w:szCs w:val="24"/>
        </w:rPr>
        <w:t xml:space="preserve"> (+1,3 punku procentowego w stosunku </w:t>
      </w:r>
      <w:r w:rsidR="00981E9F">
        <w:rPr>
          <w:rFonts w:cstheme="minorHAnsi"/>
          <w:szCs w:val="24"/>
        </w:rPr>
        <w:t xml:space="preserve">do </w:t>
      </w:r>
      <w:r w:rsidR="00247D8D">
        <w:rPr>
          <w:rFonts w:cstheme="minorHAnsi"/>
          <w:szCs w:val="24"/>
        </w:rPr>
        <w:t>2023 r</w:t>
      </w:r>
      <w:r w:rsidR="00F011A2">
        <w:rPr>
          <w:rFonts w:cstheme="minorHAnsi"/>
          <w:szCs w:val="24"/>
        </w:rPr>
        <w:t>oku</w:t>
      </w:r>
      <w:r w:rsidR="00247D8D">
        <w:rPr>
          <w:rFonts w:cstheme="minorHAnsi"/>
          <w:szCs w:val="24"/>
        </w:rPr>
        <w:t>).</w:t>
      </w:r>
      <w:r w:rsidR="00247D8D" w:rsidRPr="00247D8D">
        <w:rPr>
          <w:rFonts w:cstheme="minorHAnsi"/>
          <w:szCs w:val="24"/>
        </w:rPr>
        <w:t xml:space="preserve"> </w:t>
      </w:r>
      <w:r w:rsidR="0065762F">
        <w:rPr>
          <w:rFonts w:cstheme="minorHAnsi"/>
          <w:szCs w:val="24"/>
        </w:rPr>
        <w:t>P</w:t>
      </w:r>
      <w:r w:rsidRPr="00E401F0">
        <w:rPr>
          <w:rFonts w:cstheme="minorHAnsi"/>
          <w:szCs w:val="24"/>
        </w:rPr>
        <w:t xml:space="preserve">rzewoźnicy sieciowi odnotowali wzrost średniej liczby pasażerów względem </w:t>
      </w:r>
      <w:r w:rsidR="007E6C45">
        <w:rPr>
          <w:rFonts w:cstheme="minorHAnsi"/>
          <w:szCs w:val="24"/>
        </w:rPr>
        <w:t xml:space="preserve">pierwszej połowy </w:t>
      </w:r>
      <w:r w:rsidRPr="00E401F0">
        <w:rPr>
          <w:rFonts w:cstheme="minorHAnsi"/>
          <w:szCs w:val="24"/>
        </w:rPr>
        <w:t>202</w:t>
      </w:r>
      <w:r w:rsidR="0062712E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o </w:t>
      </w:r>
      <w:r w:rsidR="007E6C45">
        <w:rPr>
          <w:rFonts w:cstheme="minorHAnsi"/>
          <w:szCs w:val="24"/>
        </w:rPr>
        <w:t>1</w:t>
      </w:r>
      <w:r w:rsidR="0065762F">
        <w:rPr>
          <w:rFonts w:cstheme="minorHAnsi"/>
          <w:szCs w:val="24"/>
        </w:rPr>
        <w:t xml:space="preserve"> pasażer</w:t>
      </w:r>
      <w:r w:rsidR="007E6C45">
        <w:rPr>
          <w:rFonts w:cstheme="minorHAnsi"/>
          <w:szCs w:val="24"/>
        </w:rPr>
        <w:t>a</w:t>
      </w:r>
      <w:r w:rsidR="0065762F">
        <w:rPr>
          <w:rFonts w:cstheme="minorHAnsi"/>
          <w:szCs w:val="24"/>
        </w:rPr>
        <w:t>, a</w:t>
      </w:r>
      <w:r w:rsidR="00EA13B7">
        <w:rPr>
          <w:rFonts w:cstheme="minorHAnsi"/>
          <w:szCs w:val="24"/>
        </w:rPr>
        <w:t> </w:t>
      </w:r>
      <w:r w:rsidR="0065762F">
        <w:rPr>
          <w:rFonts w:cstheme="minorHAnsi"/>
          <w:szCs w:val="24"/>
        </w:rPr>
        <w:t>w</w:t>
      </w:r>
      <w:r w:rsidR="00EA13B7">
        <w:rPr>
          <w:rFonts w:cstheme="minorHAnsi"/>
          <w:szCs w:val="24"/>
        </w:rPr>
        <w:t> </w:t>
      </w:r>
      <w:r w:rsidR="0062712E">
        <w:rPr>
          <w:rFonts w:cstheme="minorHAnsi"/>
          <w:szCs w:val="24"/>
        </w:rPr>
        <w:t>porównaniu do 2023</w:t>
      </w:r>
      <w:r w:rsidRPr="00E401F0">
        <w:rPr>
          <w:rFonts w:cstheme="minorHAnsi"/>
          <w:szCs w:val="24"/>
        </w:rPr>
        <w:t xml:space="preserve"> roku o </w:t>
      </w:r>
      <w:r w:rsidR="009E6849">
        <w:rPr>
          <w:rFonts w:cstheme="minorHAnsi"/>
          <w:szCs w:val="24"/>
        </w:rPr>
        <w:t xml:space="preserve">3 </w:t>
      </w:r>
      <w:r w:rsidRPr="00E401F0">
        <w:rPr>
          <w:rFonts w:cstheme="minorHAnsi"/>
          <w:szCs w:val="24"/>
        </w:rPr>
        <w:t xml:space="preserve">pasażerów. </w:t>
      </w:r>
    </w:p>
    <w:p w14:paraId="07F65184" w14:textId="470F4193" w:rsidR="00527143" w:rsidRDefault="00247D8D" w:rsidP="00EF21A5">
      <w:pPr>
        <w:rPr>
          <w:rFonts w:cstheme="minorHAnsi"/>
          <w:szCs w:val="24"/>
        </w:rPr>
      </w:pPr>
      <w:r w:rsidRPr="00247D8D">
        <w:rPr>
          <w:rFonts w:cstheme="minorHAnsi"/>
          <w:szCs w:val="24"/>
        </w:rPr>
        <w:t xml:space="preserve">Przy takich zmianach nie zdołali oni zwiększyć współczynnika wypełnienia miejsc, który spadł w </w:t>
      </w:r>
      <w:r>
        <w:rPr>
          <w:rFonts w:cstheme="minorHAnsi"/>
          <w:szCs w:val="24"/>
        </w:rPr>
        <w:t xml:space="preserve">pierwszym półroczu </w:t>
      </w:r>
      <w:r w:rsidRPr="00247D8D">
        <w:rPr>
          <w:rFonts w:cstheme="minorHAnsi"/>
          <w:szCs w:val="24"/>
        </w:rPr>
        <w:t>o 1 punkt procentowy</w:t>
      </w:r>
      <w:r w:rsidR="009E6849">
        <w:rPr>
          <w:rFonts w:cstheme="minorHAnsi"/>
          <w:szCs w:val="24"/>
        </w:rPr>
        <w:t xml:space="preserve"> względem 2024 roku i</w:t>
      </w:r>
      <w:r w:rsidRPr="00247D8D">
        <w:rPr>
          <w:rFonts w:cstheme="minorHAnsi"/>
          <w:szCs w:val="24"/>
        </w:rPr>
        <w:t xml:space="preserve"> o 2 punkty</w:t>
      </w:r>
      <w:r>
        <w:rPr>
          <w:rFonts w:cstheme="minorHAnsi"/>
          <w:szCs w:val="24"/>
        </w:rPr>
        <w:t xml:space="preserve"> </w:t>
      </w:r>
      <w:r w:rsidRPr="00247D8D">
        <w:rPr>
          <w:rFonts w:cstheme="minorHAnsi"/>
          <w:szCs w:val="24"/>
        </w:rPr>
        <w:t>procentowe</w:t>
      </w:r>
      <w:r w:rsidR="009E6849">
        <w:rPr>
          <w:rFonts w:cstheme="minorHAnsi"/>
          <w:szCs w:val="24"/>
        </w:rPr>
        <w:t xml:space="preserve"> względem analogicznego okresu 2023 roku.</w:t>
      </w:r>
      <w:r w:rsidRPr="00E401F0">
        <w:rPr>
          <w:rFonts w:cstheme="minorHAnsi"/>
          <w:szCs w:val="24"/>
        </w:rPr>
        <w:t xml:space="preserve"> </w:t>
      </w:r>
      <w:r w:rsidR="00527143" w:rsidRPr="00E401F0">
        <w:rPr>
          <w:rFonts w:cstheme="minorHAnsi"/>
          <w:szCs w:val="24"/>
        </w:rPr>
        <w:t>W przypadku przewoźników czarterowych zmiany</w:t>
      </w:r>
      <w:r w:rsidR="0065762F">
        <w:rPr>
          <w:rFonts w:cstheme="minorHAnsi"/>
          <w:szCs w:val="24"/>
        </w:rPr>
        <w:t xml:space="preserve"> te </w:t>
      </w:r>
      <w:r w:rsidR="0034528C">
        <w:rPr>
          <w:rFonts w:cstheme="minorHAnsi"/>
          <w:szCs w:val="24"/>
        </w:rPr>
        <w:t>były podobne</w:t>
      </w:r>
      <w:r w:rsidR="009E6849">
        <w:rPr>
          <w:rFonts w:cstheme="minorHAnsi"/>
          <w:szCs w:val="24"/>
        </w:rPr>
        <w:t>,</w:t>
      </w:r>
      <w:r w:rsidR="0034528C">
        <w:rPr>
          <w:rFonts w:cstheme="minorHAnsi"/>
          <w:szCs w:val="24"/>
        </w:rPr>
        <w:t xml:space="preserve"> tj.</w:t>
      </w:r>
      <w:r w:rsidR="00E234D8">
        <w:rPr>
          <w:rFonts w:cstheme="minorHAnsi"/>
          <w:szCs w:val="24"/>
        </w:rPr>
        <w:t xml:space="preserve"> +</w:t>
      </w:r>
      <w:r w:rsidR="009E6849">
        <w:rPr>
          <w:rFonts w:cstheme="minorHAnsi"/>
          <w:szCs w:val="24"/>
        </w:rPr>
        <w:t>1 </w:t>
      </w:r>
      <w:r w:rsidR="0065762F">
        <w:rPr>
          <w:rFonts w:cstheme="minorHAnsi"/>
          <w:szCs w:val="24"/>
        </w:rPr>
        <w:t>pasażer</w:t>
      </w:r>
      <w:r w:rsidR="00527143" w:rsidRPr="00E401F0">
        <w:rPr>
          <w:rFonts w:cstheme="minorHAnsi"/>
          <w:szCs w:val="24"/>
        </w:rPr>
        <w:t xml:space="preserve"> względem</w:t>
      </w:r>
      <w:r w:rsidR="007E6C45">
        <w:rPr>
          <w:rFonts w:cstheme="minorHAnsi"/>
          <w:szCs w:val="24"/>
        </w:rPr>
        <w:t xml:space="preserve"> pierwszej połowy</w:t>
      </w:r>
      <w:r w:rsidR="00527143" w:rsidRPr="00E401F0">
        <w:rPr>
          <w:rFonts w:cstheme="minorHAnsi"/>
          <w:szCs w:val="24"/>
        </w:rPr>
        <w:t xml:space="preserve"> </w:t>
      </w:r>
      <w:r w:rsidR="0065762F">
        <w:rPr>
          <w:rFonts w:cstheme="minorHAnsi"/>
          <w:szCs w:val="24"/>
        </w:rPr>
        <w:t>202</w:t>
      </w:r>
      <w:r w:rsidR="00E234D8">
        <w:rPr>
          <w:rFonts w:cstheme="minorHAnsi"/>
          <w:szCs w:val="24"/>
        </w:rPr>
        <w:t>4</w:t>
      </w:r>
      <w:r w:rsidR="0065762F">
        <w:rPr>
          <w:rFonts w:cstheme="minorHAnsi"/>
          <w:szCs w:val="24"/>
        </w:rPr>
        <w:t xml:space="preserve"> </w:t>
      </w:r>
      <w:r w:rsidR="00E234D8">
        <w:rPr>
          <w:rFonts w:cstheme="minorHAnsi"/>
          <w:szCs w:val="24"/>
        </w:rPr>
        <w:t>jak i 2023 r</w:t>
      </w:r>
      <w:r w:rsidR="00C562CD">
        <w:rPr>
          <w:rFonts w:cstheme="minorHAnsi"/>
          <w:szCs w:val="24"/>
        </w:rPr>
        <w:t>oku.</w:t>
      </w:r>
      <w:r w:rsidR="0034528C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(S/F był </w:t>
      </w:r>
      <w:r w:rsidR="009E6849">
        <w:rPr>
          <w:rFonts w:cstheme="minorHAnsi"/>
          <w:szCs w:val="24"/>
        </w:rPr>
        <w:t>o 0,2 punktu procentowego niższy</w:t>
      </w:r>
      <w:r>
        <w:rPr>
          <w:rFonts w:cstheme="minorHAnsi"/>
          <w:szCs w:val="24"/>
        </w:rPr>
        <w:t xml:space="preserve"> w porównaniu z półroczem 2024 r</w:t>
      </w:r>
      <w:r w:rsidR="00C562CD">
        <w:rPr>
          <w:rFonts w:cstheme="minorHAnsi"/>
          <w:szCs w:val="24"/>
        </w:rPr>
        <w:t>oku</w:t>
      </w:r>
      <w:r>
        <w:rPr>
          <w:rFonts w:cstheme="minorHAnsi"/>
          <w:szCs w:val="24"/>
        </w:rPr>
        <w:t xml:space="preserve">, </w:t>
      </w:r>
      <w:r w:rsidR="009E6849">
        <w:rPr>
          <w:rFonts w:cstheme="minorHAnsi"/>
          <w:szCs w:val="24"/>
        </w:rPr>
        <w:t>ale</w:t>
      </w:r>
      <w:r>
        <w:rPr>
          <w:rFonts w:cstheme="minorHAnsi"/>
          <w:szCs w:val="24"/>
        </w:rPr>
        <w:t xml:space="preserve"> o 0,</w:t>
      </w:r>
      <w:r w:rsidR="009E6849">
        <w:rPr>
          <w:rFonts w:cstheme="minorHAnsi"/>
          <w:szCs w:val="24"/>
        </w:rPr>
        <w:t>4</w:t>
      </w:r>
      <w:r>
        <w:rPr>
          <w:rFonts w:cstheme="minorHAnsi"/>
          <w:szCs w:val="24"/>
        </w:rPr>
        <w:t xml:space="preserve"> punktu p</w:t>
      </w:r>
      <w:r w:rsidR="00981E9F">
        <w:rPr>
          <w:rFonts w:cstheme="minorHAnsi"/>
          <w:szCs w:val="24"/>
        </w:rPr>
        <w:t>ro</w:t>
      </w:r>
      <w:r>
        <w:rPr>
          <w:rFonts w:cstheme="minorHAnsi"/>
          <w:szCs w:val="24"/>
        </w:rPr>
        <w:t>centowego</w:t>
      </w:r>
      <w:r w:rsidR="009E6849">
        <w:rPr>
          <w:rFonts w:cstheme="minorHAnsi"/>
          <w:szCs w:val="24"/>
        </w:rPr>
        <w:t xml:space="preserve"> wyższy</w:t>
      </w:r>
      <w:r>
        <w:rPr>
          <w:rFonts w:cstheme="minorHAnsi"/>
          <w:szCs w:val="24"/>
        </w:rPr>
        <w:t xml:space="preserve"> w stosunku do 2023 </w:t>
      </w:r>
      <w:r w:rsidR="00C562CD">
        <w:rPr>
          <w:rFonts w:cstheme="minorHAnsi"/>
          <w:szCs w:val="24"/>
        </w:rPr>
        <w:t>roku</w:t>
      </w:r>
      <w:r>
        <w:rPr>
          <w:rFonts w:cstheme="minorHAnsi"/>
          <w:szCs w:val="24"/>
        </w:rPr>
        <w:t>)</w:t>
      </w:r>
      <w:r w:rsidR="002610D2">
        <w:rPr>
          <w:rFonts w:cstheme="minorHAnsi"/>
          <w:szCs w:val="24"/>
        </w:rPr>
        <w:t>.</w:t>
      </w:r>
    </w:p>
    <w:p w14:paraId="0FA1EA9B" w14:textId="77777777" w:rsidR="00DA764F" w:rsidRDefault="00DA764F" w:rsidP="00DA764F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02F64665" wp14:editId="79D6855B">
            <wp:extent cx="4680000" cy="2340000"/>
            <wp:effectExtent l="0" t="0" r="6350" b="3175"/>
            <wp:docPr id="36" name="Wykres 36" descr="Wykres przedstawia łączną liczbę wykonanych operacji w minionych kwartałach z uwzględnieniem analogicznych okresów z poprzednich 2 lat. Dane przedstawione w Tabeli 5.1 poniżej." title="Wykres 5.1 Liczba operacji (tys.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C3BCBA1" w14:textId="25A028F7" w:rsidR="00451B0B" w:rsidRPr="00451B0B" w:rsidRDefault="00DA764F" w:rsidP="00451B0B">
      <w:pPr>
        <w:pStyle w:val="Legenda"/>
      </w:pPr>
      <w:bookmarkStart w:id="12" w:name="_Toc219462782"/>
      <w:r w:rsidRPr="00DA764F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5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="006C7541">
        <w:t xml:space="preserve"> </w:t>
      </w:r>
      <w:r w:rsidR="001B72F1" w:rsidRPr="001B72F1">
        <w:t>Liczba operacji (tys.) – kwartał – wykres przedstawia łączną liczbę wykonanych operacji w drugim kwartale 2025 roku wraz z uwzględnieniem lat 2024 i 2023</w:t>
      </w:r>
      <w:bookmarkEnd w:id="12"/>
    </w:p>
    <w:tbl>
      <w:tblPr>
        <w:tblW w:w="2259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99"/>
      </w:tblGrid>
      <w:tr w:rsidR="003B31CA" w:rsidRPr="003B31CA" w14:paraId="19FBDF78" w14:textId="77777777" w:rsidTr="00234D3E">
        <w:trPr>
          <w:trHeight w:val="317"/>
          <w:jc w:val="center"/>
        </w:trPr>
        <w:tc>
          <w:tcPr>
            <w:tcW w:w="960" w:type="dxa"/>
            <w:shd w:val="clear" w:color="000000" w:fill="283772"/>
            <w:noWrap/>
            <w:vAlign w:val="center"/>
            <w:hideMark/>
          </w:tcPr>
          <w:p w14:paraId="5CFFB834" w14:textId="77777777" w:rsidR="003B31CA" w:rsidRPr="003B31CA" w:rsidRDefault="003B31C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  <w:t>Rok</w:t>
            </w:r>
          </w:p>
        </w:tc>
        <w:tc>
          <w:tcPr>
            <w:tcW w:w="1299" w:type="dxa"/>
            <w:shd w:val="clear" w:color="000000" w:fill="283772"/>
            <w:noWrap/>
            <w:vAlign w:val="center"/>
            <w:hideMark/>
          </w:tcPr>
          <w:p w14:paraId="594A7F20" w14:textId="77777777" w:rsidR="003B31CA" w:rsidRPr="003B31CA" w:rsidRDefault="003B31C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  <w:t>Narastająco</w:t>
            </w:r>
          </w:p>
        </w:tc>
      </w:tr>
      <w:tr w:rsidR="003B31CA" w:rsidRPr="003B31CA" w14:paraId="4F4E4C2C" w14:textId="77777777" w:rsidTr="00234D3E">
        <w:trPr>
          <w:trHeight w:val="317"/>
          <w:jc w:val="center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EB8C732" w14:textId="77777777" w:rsidR="003B31CA" w:rsidRPr="003B31CA" w:rsidRDefault="003B31C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2025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14:paraId="41BEC9BE" w14:textId="77777777" w:rsidR="003B31CA" w:rsidRPr="003B31CA" w:rsidRDefault="003B31C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215 721</w:t>
            </w:r>
          </w:p>
        </w:tc>
      </w:tr>
      <w:tr w:rsidR="003B31CA" w:rsidRPr="003B31CA" w14:paraId="5BFFBB49" w14:textId="77777777" w:rsidTr="00234D3E">
        <w:trPr>
          <w:trHeight w:val="317"/>
          <w:jc w:val="center"/>
        </w:trPr>
        <w:tc>
          <w:tcPr>
            <w:tcW w:w="960" w:type="dxa"/>
            <w:shd w:val="clear" w:color="000000" w:fill="E0E4F4"/>
            <w:noWrap/>
            <w:vAlign w:val="center"/>
            <w:hideMark/>
          </w:tcPr>
          <w:p w14:paraId="09CD1F23" w14:textId="77777777" w:rsidR="003B31CA" w:rsidRPr="003B31CA" w:rsidRDefault="003B31C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2024</w:t>
            </w:r>
          </w:p>
        </w:tc>
        <w:tc>
          <w:tcPr>
            <w:tcW w:w="1299" w:type="dxa"/>
            <w:shd w:val="clear" w:color="000000" w:fill="E0E4F4"/>
            <w:noWrap/>
            <w:vAlign w:val="center"/>
            <w:hideMark/>
          </w:tcPr>
          <w:p w14:paraId="1D302B74" w14:textId="77777777" w:rsidR="003B31CA" w:rsidRPr="003B31CA" w:rsidRDefault="003B31C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197 276</w:t>
            </w:r>
          </w:p>
        </w:tc>
      </w:tr>
      <w:tr w:rsidR="003B31CA" w:rsidRPr="003B31CA" w14:paraId="530914E2" w14:textId="77777777" w:rsidTr="00234D3E">
        <w:trPr>
          <w:trHeight w:val="317"/>
          <w:jc w:val="center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CC0B78F" w14:textId="77777777" w:rsidR="003B31CA" w:rsidRPr="003B31CA" w:rsidRDefault="003B31C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2023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14:paraId="084ED334" w14:textId="77777777" w:rsidR="003B31CA" w:rsidRPr="003B31CA" w:rsidRDefault="003B31C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B31CA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172 810</w:t>
            </w:r>
          </w:p>
        </w:tc>
      </w:tr>
    </w:tbl>
    <w:p w14:paraId="004715B1" w14:textId="77777777" w:rsidR="00FD7200" w:rsidRPr="00F647C1" w:rsidRDefault="00FD7200" w:rsidP="00F647C1">
      <w:pPr>
        <w:pStyle w:val="Legenda"/>
        <w:ind w:left="2124" w:firstLine="708"/>
        <w:jc w:val="left"/>
        <w:rPr>
          <w:b/>
        </w:rPr>
      </w:pPr>
      <w:bookmarkStart w:id="13" w:name="_Toc216787125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5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operacji</w:t>
      </w:r>
      <w:r w:rsidR="00A32D8B">
        <w:rPr>
          <w:noProof/>
        </w:rPr>
        <w:t xml:space="preserve"> </w:t>
      </w:r>
      <w:r w:rsidRPr="00E401F0">
        <w:rPr>
          <w:noProof/>
        </w:rPr>
        <w:t>– narastająco</w:t>
      </w:r>
      <w:bookmarkEnd w:id="13"/>
    </w:p>
    <w:p w14:paraId="4217CC51" w14:textId="77777777" w:rsidR="00EF21A5" w:rsidRPr="00E401F0" w:rsidRDefault="00EF21A5" w:rsidP="005A6434">
      <w:pPr>
        <w:pStyle w:val="Nagwek1"/>
      </w:pPr>
      <w:bookmarkStart w:id="14" w:name="_Toc178665041"/>
      <w:r w:rsidRPr="00E401F0">
        <w:lastRenderedPageBreak/>
        <w:t>Operacje lotnicze - kwartał</w:t>
      </w:r>
      <w:bookmarkEnd w:id="14"/>
    </w:p>
    <w:p w14:paraId="26060EEE" w14:textId="2E1364BB"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Liczba operacji pasażerskich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C923C9" w:rsidRPr="00E401F0">
        <w:rPr>
          <w:rFonts w:cstheme="minorHAnsi"/>
          <w:szCs w:val="24"/>
        </w:rPr>
        <w:t xml:space="preserve"> </w:t>
      </w:r>
      <w:r w:rsidR="00981E9F">
        <w:rPr>
          <w:rFonts w:cstheme="minorHAnsi"/>
          <w:szCs w:val="24"/>
        </w:rPr>
        <w:t>2025</w:t>
      </w:r>
      <w:r w:rsidR="0065762F">
        <w:rPr>
          <w:rFonts w:cstheme="minorHAnsi"/>
          <w:szCs w:val="24"/>
        </w:rPr>
        <w:t xml:space="preserve"> roku </w:t>
      </w:r>
      <w:r w:rsidR="00C923C9" w:rsidRPr="00E401F0">
        <w:rPr>
          <w:rFonts w:cstheme="minorHAnsi"/>
          <w:szCs w:val="24"/>
        </w:rPr>
        <w:t xml:space="preserve">wyniosła </w:t>
      </w:r>
      <w:r w:rsidR="00E234D8">
        <w:rPr>
          <w:rFonts w:cstheme="minorHAnsi"/>
          <w:szCs w:val="24"/>
        </w:rPr>
        <w:t>12</w:t>
      </w:r>
      <w:r w:rsidR="0000733C">
        <w:rPr>
          <w:rFonts w:cstheme="minorHAnsi"/>
          <w:szCs w:val="24"/>
        </w:rPr>
        <w:t>3</w:t>
      </w:r>
      <w:r w:rsidR="00E234D8">
        <w:rPr>
          <w:rFonts w:cstheme="minorHAnsi"/>
          <w:szCs w:val="24"/>
        </w:rPr>
        <w:t>,8</w:t>
      </w:r>
      <w:r w:rsidR="00C923C9" w:rsidRPr="00E401F0">
        <w:rPr>
          <w:rFonts w:cstheme="minorHAnsi"/>
          <w:szCs w:val="24"/>
        </w:rPr>
        <w:t xml:space="preserve"> tys.</w:t>
      </w:r>
      <w:r w:rsidRPr="00E401F0">
        <w:rPr>
          <w:rFonts w:cstheme="minorHAnsi"/>
          <w:szCs w:val="24"/>
        </w:rPr>
        <w:t xml:space="preserve"> </w:t>
      </w:r>
      <w:r w:rsidR="00C923C9" w:rsidRPr="00E401F0">
        <w:rPr>
          <w:rFonts w:cstheme="minorHAnsi"/>
          <w:szCs w:val="24"/>
        </w:rPr>
        <w:t xml:space="preserve">i </w:t>
      </w:r>
      <w:r w:rsidR="00C3244C">
        <w:rPr>
          <w:rFonts w:cstheme="minorHAnsi"/>
          <w:szCs w:val="24"/>
        </w:rPr>
        <w:t>wzrosła o </w:t>
      </w:r>
      <w:r w:rsidR="00E234D8">
        <w:rPr>
          <w:rFonts w:cstheme="minorHAnsi"/>
          <w:szCs w:val="24"/>
        </w:rPr>
        <w:t>10,</w:t>
      </w:r>
      <w:r w:rsidR="009E6849">
        <w:rPr>
          <w:rFonts w:cstheme="minorHAnsi"/>
          <w:szCs w:val="24"/>
        </w:rPr>
        <w:t>2</w:t>
      </w:r>
      <w:r w:rsidRPr="00E401F0">
        <w:rPr>
          <w:rFonts w:cstheme="minorHAnsi"/>
          <w:szCs w:val="24"/>
        </w:rPr>
        <w:t>% w porównaniu do 202</w:t>
      </w:r>
      <w:r w:rsidR="00430AF3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</w:t>
      </w:r>
      <w:r w:rsidR="0000733C">
        <w:rPr>
          <w:rFonts w:cstheme="minorHAnsi"/>
          <w:szCs w:val="24"/>
        </w:rPr>
        <w:t xml:space="preserve"> i</w:t>
      </w:r>
      <w:r w:rsidRPr="00E401F0">
        <w:rPr>
          <w:rFonts w:cstheme="minorHAnsi"/>
          <w:szCs w:val="24"/>
        </w:rPr>
        <w:t xml:space="preserve"> o </w:t>
      </w:r>
      <w:r w:rsidR="00430AF3">
        <w:rPr>
          <w:rFonts w:cstheme="minorHAnsi"/>
          <w:szCs w:val="24"/>
        </w:rPr>
        <w:t>24,</w:t>
      </w:r>
      <w:r w:rsidR="009E6849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% względem </w:t>
      </w:r>
      <w:r w:rsidR="00430AF3">
        <w:rPr>
          <w:rFonts w:cstheme="minorHAnsi"/>
          <w:szCs w:val="24"/>
        </w:rPr>
        <w:t xml:space="preserve">2023 </w:t>
      </w:r>
      <w:r w:rsidRPr="00E401F0">
        <w:rPr>
          <w:rFonts w:cstheme="minorHAnsi"/>
          <w:szCs w:val="24"/>
        </w:rPr>
        <w:t>roku.</w:t>
      </w:r>
    </w:p>
    <w:p w14:paraId="5177779C" w14:textId="36F7D502" w:rsidR="00AD3D3E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Średnia liczba pasażerów </w:t>
      </w:r>
      <w:r w:rsidR="0065762F">
        <w:rPr>
          <w:rFonts w:cstheme="minorHAnsi"/>
          <w:szCs w:val="24"/>
        </w:rPr>
        <w:t xml:space="preserve">na operację lotniczą </w:t>
      </w:r>
      <w:r w:rsidRPr="00E401F0">
        <w:rPr>
          <w:rFonts w:cstheme="minorHAnsi"/>
          <w:szCs w:val="24"/>
        </w:rPr>
        <w:t xml:space="preserve">wyniosła </w:t>
      </w:r>
      <w:r w:rsidR="00430AF3">
        <w:rPr>
          <w:rFonts w:cstheme="minorHAnsi"/>
          <w:szCs w:val="24"/>
        </w:rPr>
        <w:t>14</w:t>
      </w:r>
      <w:r w:rsidR="009E6849">
        <w:rPr>
          <w:rFonts w:cstheme="minorHAnsi"/>
          <w:szCs w:val="24"/>
        </w:rPr>
        <w:t>2</w:t>
      </w:r>
      <w:r w:rsidRPr="00E401F0">
        <w:rPr>
          <w:rFonts w:cstheme="minorHAnsi"/>
          <w:szCs w:val="24"/>
        </w:rPr>
        <w:t xml:space="preserve">. Wzrosła o </w:t>
      </w:r>
      <w:r w:rsidR="00430AF3">
        <w:rPr>
          <w:rFonts w:cstheme="minorHAnsi"/>
          <w:szCs w:val="24"/>
        </w:rPr>
        <w:t xml:space="preserve">2 </w:t>
      </w:r>
      <w:r w:rsidRPr="00E401F0">
        <w:rPr>
          <w:rFonts w:cstheme="minorHAnsi"/>
          <w:szCs w:val="24"/>
        </w:rPr>
        <w:t>pasażerów w stosun</w:t>
      </w:r>
      <w:r w:rsidR="00430AF3">
        <w:rPr>
          <w:rFonts w:cstheme="minorHAnsi"/>
          <w:szCs w:val="24"/>
        </w:rPr>
        <w:t>ku do analogicznych okresów 2024 i 2023</w:t>
      </w:r>
      <w:r w:rsidRPr="00E401F0">
        <w:rPr>
          <w:rFonts w:cstheme="minorHAnsi"/>
          <w:szCs w:val="24"/>
        </w:rPr>
        <w:t xml:space="preserve"> roku.</w:t>
      </w:r>
      <w:r w:rsidR="00B35E70" w:rsidRPr="00E401F0">
        <w:rPr>
          <w:rFonts w:cstheme="minorHAnsi"/>
          <w:szCs w:val="24"/>
        </w:rPr>
        <w:t xml:space="preserve"> </w:t>
      </w:r>
    </w:p>
    <w:p w14:paraId="6F346985" w14:textId="223C9AD9" w:rsidR="0074694C" w:rsidRDefault="00AD3D3E" w:rsidP="00EF21A5">
      <w:pPr>
        <w:rPr>
          <w:rFonts w:cstheme="minorHAnsi"/>
          <w:szCs w:val="24"/>
        </w:rPr>
      </w:pPr>
      <w:r w:rsidRPr="00AD3D3E">
        <w:rPr>
          <w:rFonts w:cstheme="minorHAnsi"/>
          <w:szCs w:val="24"/>
        </w:rPr>
        <w:t xml:space="preserve">Należy zwrócić uwagę, że </w:t>
      </w:r>
      <w:r>
        <w:rPr>
          <w:rFonts w:cstheme="minorHAnsi"/>
          <w:szCs w:val="24"/>
        </w:rPr>
        <w:t xml:space="preserve">podobnie jak w całym półroczu tak i w drugim kwartale </w:t>
      </w:r>
      <w:r w:rsidRPr="00AD3D3E">
        <w:rPr>
          <w:rFonts w:cstheme="minorHAnsi"/>
          <w:szCs w:val="24"/>
        </w:rPr>
        <w:t>przewoźnicy niskokosztowi zanotowali większy wzrost liczby pasażerów przypadających średnio na jedną operację. Podczas, gdy na pokładach samolotów przewoźników sieciowych podróżowało w drugim kwartale średnio o 1 pasażera więcej</w:t>
      </w:r>
      <w:r>
        <w:rPr>
          <w:rFonts w:cstheme="minorHAnsi"/>
          <w:szCs w:val="24"/>
        </w:rPr>
        <w:t xml:space="preserve"> (podobnie jak w analogicznym okresie 2023 r</w:t>
      </w:r>
      <w:r w:rsidR="00EF0FBC">
        <w:rPr>
          <w:rFonts w:cstheme="minorHAnsi"/>
          <w:szCs w:val="24"/>
        </w:rPr>
        <w:t>oku</w:t>
      </w:r>
      <w:r>
        <w:rPr>
          <w:rFonts w:cstheme="minorHAnsi"/>
          <w:szCs w:val="24"/>
        </w:rPr>
        <w:t>)</w:t>
      </w:r>
      <w:r w:rsidRPr="00AD3D3E">
        <w:rPr>
          <w:rFonts w:cstheme="minorHAnsi"/>
          <w:szCs w:val="24"/>
        </w:rPr>
        <w:t>, to w przypadku przewoźników niskokosztowych nastąpił w t</w:t>
      </w:r>
      <w:r>
        <w:rPr>
          <w:rFonts w:cstheme="minorHAnsi"/>
          <w:szCs w:val="24"/>
        </w:rPr>
        <w:t>ym okresie wzrost o 3 pasażerów (+1 pasażer w porównaniu do 2023 r</w:t>
      </w:r>
      <w:r w:rsidR="00EF0FBC">
        <w:rPr>
          <w:rFonts w:cstheme="minorHAnsi"/>
          <w:szCs w:val="24"/>
        </w:rPr>
        <w:t>oku</w:t>
      </w:r>
      <w:r>
        <w:rPr>
          <w:rFonts w:cstheme="minorHAnsi"/>
          <w:szCs w:val="24"/>
        </w:rPr>
        <w:t>)</w:t>
      </w:r>
      <w:r w:rsidR="002610D2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="00527143" w:rsidRPr="00E401F0">
        <w:rPr>
          <w:rFonts w:cstheme="minorHAnsi"/>
          <w:szCs w:val="24"/>
        </w:rPr>
        <w:t xml:space="preserve">W przypadku przewoźników </w:t>
      </w:r>
      <w:r w:rsidR="00545E36">
        <w:rPr>
          <w:rFonts w:cstheme="minorHAnsi"/>
          <w:szCs w:val="24"/>
        </w:rPr>
        <w:t>czarterowych</w:t>
      </w:r>
      <w:r>
        <w:rPr>
          <w:rFonts w:cstheme="minorHAnsi"/>
          <w:szCs w:val="24"/>
        </w:rPr>
        <w:t xml:space="preserve"> </w:t>
      </w:r>
      <w:r w:rsidR="009E6849">
        <w:rPr>
          <w:rFonts w:cstheme="minorHAnsi"/>
          <w:szCs w:val="24"/>
        </w:rPr>
        <w:t>liczba pasażerów na operację pozostała na tym samym poziomie</w:t>
      </w:r>
      <w:r w:rsidR="00C923C9" w:rsidRPr="00E401F0">
        <w:rPr>
          <w:rFonts w:cstheme="minorHAnsi"/>
          <w:szCs w:val="24"/>
        </w:rPr>
        <w:t xml:space="preserve"> wobec </w:t>
      </w:r>
      <w:r w:rsidR="00AE5EBE">
        <w:rPr>
          <w:rFonts w:cstheme="minorHAnsi"/>
          <w:szCs w:val="24"/>
        </w:rPr>
        <w:t>drugiego</w:t>
      </w:r>
      <w:r w:rsidR="00545E36">
        <w:rPr>
          <w:rFonts w:cstheme="minorHAnsi"/>
          <w:szCs w:val="24"/>
        </w:rPr>
        <w:t xml:space="preserve"> kwartału 2024</w:t>
      </w:r>
      <w:r w:rsidR="00C923C9" w:rsidRPr="00E401F0">
        <w:rPr>
          <w:rFonts w:cstheme="minorHAnsi"/>
          <w:szCs w:val="24"/>
        </w:rPr>
        <w:t xml:space="preserve"> roku i </w:t>
      </w:r>
      <w:r w:rsidR="0093583C">
        <w:rPr>
          <w:rFonts w:cstheme="minorHAnsi"/>
          <w:szCs w:val="24"/>
        </w:rPr>
        <w:t xml:space="preserve">wzrosła o </w:t>
      </w:r>
      <w:r w:rsidR="00545E36">
        <w:rPr>
          <w:rFonts w:cstheme="minorHAnsi"/>
          <w:szCs w:val="24"/>
        </w:rPr>
        <w:t>2</w:t>
      </w:r>
      <w:r w:rsidR="0065762F">
        <w:rPr>
          <w:rFonts w:cstheme="minorHAnsi"/>
          <w:szCs w:val="24"/>
        </w:rPr>
        <w:t xml:space="preserve"> pasażerów</w:t>
      </w:r>
      <w:r w:rsidR="00C923C9" w:rsidRPr="00E401F0">
        <w:rPr>
          <w:rFonts w:cstheme="minorHAnsi"/>
          <w:szCs w:val="24"/>
        </w:rPr>
        <w:t xml:space="preserve"> wz</w:t>
      </w:r>
      <w:r w:rsidR="00545E36">
        <w:rPr>
          <w:rFonts w:cstheme="minorHAnsi"/>
          <w:szCs w:val="24"/>
        </w:rPr>
        <w:t>ględem analogicznego okresu 202</w:t>
      </w:r>
      <w:r>
        <w:rPr>
          <w:rFonts w:cstheme="minorHAnsi"/>
          <w:szCs w:val="24"/>
        </w:rPr>
        <w:t>3</w:t>
      </w:r>
      <w:r w:rsidR="00C923C9" w:rsidRPr="00E401F0">
        <w:rPr>
          <w:rFonts w:cstheme="minorHAnsi"/>
          <w:szCs w:val="24"/>
        </w:rPr>
        <w:t xml:space="preserve"> roku</w:t>
      </w:r>
      <w:r w:rsidR="00527143" w:rsidRPr="00E401F0">
        <w:rPr>
          <w:rFonts w:cstheme="minorHAnsi"/>
          <w:szCs w:val="24"/>
        </w:rPr>
        <w:t>.</w:t>
      </w:r>
      <w:r w:rsidR="00981E9F">
        <w:rPr>
          <w:rFonts w:cstheme="minorHAnsi"/>
          <w:szCs w:val="24"/>
        </w:rPr>
        <w:t xml:space="preserve"> </w:t>
      </w:r>
    </w:p>
    <w:p w14:paraId="48C108F4" w14:textId="0A0D3C25" w:rsidR="00527143" w:rsidRPr="00E401F0" w:rsidRDefault="00981E9F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Jeśli chodzi o S/F</w:t>
      </w:r>
      <w:r w:rsidR="0093583C">
        <w:rPr>
          <w:rFonts w:cstheme="minorHAnsi"/>
          <w:szCs w:val="24"/>
        </w:rPr>
        <w:t>,</w:t>
      </w:r>
      <w:r>
        <w:rPr>
          <w:rFonts w:cstheme="minorHAnsi"/>
          <w:szCs w:val="24"/>
        </w:rPr>
        <w:t xml:space="preserve"> to w przypadku przewoźników niskokosztowych zmienił się niewiele (0,</w:t>
      </w:r>
      <w:r w:rsidR="0093583C">
        <w:rPr>
          <w:rFonts w:cstheme="minorHAnsi"/>
          <w:szCs w:val="24"/>
        </w:rPr>
        <w:t>1</w:t>
      </w:r>
      <w:r>
        <w:rPr>
          <w:rFonts w:cstheme="minorHAnsi"/>
          <w:szCs w:val="24"/>
        </w:rPr>
        <w:t xml:space="preserve"> i 0,5 punktu procentowego w stosunku do drugiego kwartału 2024 i 2023 r</w:t>
      </w:r>
      <w:r w:rsidR="00EF0FBC">
        <w:rPr>
          <w:rFonts w:cstheme="minorHAnsi"/>
          <w:szCs w:val="24"/>
        </w:rPr>
        <w:t>oku</w:t>
      </w:r>
      <w:r>
        <w:rPr>
          <w:rFonts w:cstheme="minorHAnsi"/>
          <w:szCs w:val="24"/>
        </w:rPr>
        <w:t>)</w:t>
      </w:r>
      <w:r w:rsidR="00BF70E2">
        <w:rPr>
          <w:rFonts w:cstheme="minorHAnsi"/>
          <w:szCs w:val="24"/>
        </w:rPr>
        <w:t>, u przewoźników sieciowych spadł (odpowiednio o 1,</w:t>
      </w:r>
      <w:r w:rsidR="0093583C">
        <w:rPr>
          <w:rFonts w:cstheme="minorHAnsi"/>
          <w:szCs w:val="24"/>
        </w:rPr>
        <w:t>4</w:t>
      </w:r>
      <w:r w:rsidR="00BF70E2">
        <w:rPr>
          <w:rFonts w:cstheme="minorHAnsi"/>
          <w:szCs w:val="24"/>
        </w:rPr>
        <w:t xml:space="preserve"> i </w:t>
      </w:r>
      <w:r w:rsidR="0093583C">
        <w:rPr>
          <w:rFonts w:cstheme="minorHAnsi"/>
          <w:szCs w:val="24"/>
        </w:rPr>
        <w:t>2,8</w:t>
      </w:r>
      <w:r w:rsidR="00BF70E2">
        <w:rPr>
          <w:rFonts w:cstheme="minorHAnsi"/>
          <w:szCs w:val="24"/>
        </w:rPr>
        <w:t xml:space="preserve"> punktu procentowego), w przypadku przewoźników czarterowych </w:t>
      </w:r>
      <w:r w:rsidR="0093583C">
        <w:rPr>
          <w:rFonts w:cstheme="minorHAnsi"/>
          <w:szCs w:val="24"/>
        </w:rPr>
        <w:t>spadł o 0,3 i 0,2 punktu procentowego względem odpowiednio drugiego kwartału 2024 i 2023 roku</w:t>
      </w:r>
      <w:r w:rsidR="00BF70E2">
        <w:rPr>
          <w:rFonts w:cstheme="minorHAnsi"/>
          <w:szCs w:val="24"/>
        </w:rPr>
        <w:t>.</w:t>
      </w:r>
    </w:p>
    <w:p w14:paraId="30815960" w14:textId="24C20C8C"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Dynamiki liczby operacji dla poszczególnych miesięcy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względem roku 202</w:t>
      </w:r>
      <w:r w:rsidR="00FD7083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przedstawiają się następująco: </w:t>
      </w:r>
      <w:r w:rsidR="003A22F1">
        <w:rPr>
          <w:rFonts w:cstheme="minorHAnsi"/>
          <w:szCs w:val="24"/>
        </w:rPr>
        <w:t>kwiecień</w:t>
      </w:r>
      <w:r w:rsidRPr="00E401F0">
        <w:rPr>
          <w:rFonts w:cstheme="minorHAnsi"/>
          <w:szCs w:val="24"/>
        </w:rPr>
        <w:t xml:space="preserve"> – </w:t>
      </w:r>
      <w:r w:rsidR="00FF2D35">
        <w:rPr>
          <w:rFonts w:cstheme="minorHAnsi"/>
          <w:szCs w:val="24"/>
        </w:rPr>
        <w:t>13,4</w:t>
      </w:r>
      <w:r w:rsidRPr="00E401F0">
        <w:rPr>
          <w:rFonts w:cstheme="minorHAnsi"/>
          <w:szCs w:val="24"/>
        </w:rPr>
        <w:t xml:space="preserve">%, </w:t>
      </w:r>
      <w:r w:rsidR="003A22F1">
        <w:rPr>
          <w:rFonts w:cstheme="minorHAnsi"/>
          <w:szCs w:val="24"/>
        </w:rPr>
        <w:t>maj</w:t>
      </w:r>
      <w:r w:rsidRPr="00E401F0">
        <w:rPr>
          <w:rFonts w:cstheme="minorHAnsi"/>
          <w:szCs w:val="24"/>
        </w:rPr>
        <w:t xml:space="preserve"> – </w:t>
      </w:r>
      <w:r w:rsidR="00B01CEE">
        <w:rPr>
          <w:rFonts w:cstheme="minorHAnsi"/>
          <w:szCs w:val="24"/>
        </w:rPr>
        <w:t>8,1</w:t>
      </w:r>
      <w:r w:rsidRPr="00E401F0">
        <w:rPr>
          <w:rFonts w:cstheme="minorHAnsi"/>
          <w:szCs w:val="24"/>
        </w:rPr>
        <w:t xml:space="preserve">%, </w:t>
      </w:r>
      <w:r w:rsidR="003A22F1">
        <w:rPr>
          <w:rFonts w:cstheme="minorHAnsi"/>
          <w:szCs w:val="24"/>
        </w:rPr>
        <w:t>czerwiec</w:t>
      </w:r>
      <w:r w:rsidRPr="00E401F0">
        <w:rPr>
          <w:rFonts w:cstheme="minorHAnsi"/>
          <w:szCs w:val="24"/>
        </w:rPr>
        <w:t xml:space="preserve"> – </w:t>
      </w:r>
      <w:r w:rsidR="00B01CEE">
        <w:rPr>
          <w:rFonts w:cstheme="minorHAnsi"/>
          <w:szCs w:val="24"/>
        </w:rPr>
        <w:t>9,</w:t>
      </w:r>
      <w:r w:rsidR="0093583C">
        <w:rPr>
          <w:rFonts w:cstheme="minorHAnsi"/>
          <w:szCs w:val="24"/>
        </w:rPr>
        <w:t>6</w:t>
      </w:r>
      <w:r w:rsidRPr="00E401F0">
        <w:rPr>
          <w:rFonts w:cstheme="minorHAnsi"/>
          <w:szCs w:val="24"/>
        </w:rPr>
        <w:t>%. Dla przewoźników sieciowych</w:t>
      </w:r>
      <w:r w:rsidR="00B01CEE">
        <w:rPr>
          <w:rFonts w:cstheme="minorHAnsi"/>
          <w:szCs w:val="24"/>
        </w:rPr>
        <w:t xml:space="preserve"> </w:t>
      </w:r>
      <w:r w:rsidR="0074694C">
        <w:rPr>
          <w:rFonts w:cstheme="minorHAnsi"/>
          <w:szCs w:val="24"/>
        </w:rPr>
        <w:t xml:space="preserve">było to </w:t>
      </w:r>
      <w:r w:rsidR="00B01CEE">
        <w:rPr>
          <w:rFonts w:cstheme="minorHAnsi"/>
          <w:szCs w:val="24"/>
        </w:rPr>
        <w:t>kolejno</w:t>
      </w:r>
      <w:r w:rsidRPr="00E401F0">
        <w:rPr>
          <w:rFonts w:cstheme="minorHAnsi"/>
          <w:szCs w:val="24"/>
        </w:rPr>
        <w:t xml:space="preserve">: </w:t>
      </w:r>
      <w:r w:rsidR="00B01CEE">
        <w:rPr>
          <w:rFonts w:cstheme="minorHAnsi"/>
          <w:szCs w:val="24"/>
        </w:rPr>
        <w:t>+12,3</w:t>
      </w:r>
      <w:r w:rsidR="0004158D" w:rsidRPr="00E401F0">
        <w:rPr>
          <w:rFonts w:cstheme="minorHAnsi"/>
          <w:szCs w:val="24"/>
        </w:rPr>
        <w:t xml:space="preserve">%, </w:t>
      </w:r>
      <w:r w:rsidR="00B01CEE">
        <w:rPr>
          <w:rFonts w:cstheme="minorHAnsi"/>
          <w:szCs w:val="24"/>
        </w:rPr>
        <w:t>+6,</w:t>
      </w:r>
      <w:r w:rsidR="0093583C">
        <w:rPr>
          <w:rFonts w:cstheme="minorHAnsi"/>
          <w:szCs w:val="24"/>
        </w:rPr>
        <w:t>9</w:t>
      </w:r>
      <w:r w:rsidRPr="00E401F0">
        <w:rPr>
          <w:rFonts w:cstheme="minorHAnsi"/>
          <w:szCs w:val="24"/>
        </w:rPr>
        <w:t xml:space="preserve">%, </w:t>
      </w:r>
      <w:r w:rsidR="00B01CEE">
        <w:rPr>
          <w:rFonts w:cstheme="minorHAnsi"/>
          <w:szCs w:val="24"/>
        </w:rPr>
        <w:t>+8,</w:t>
      </w:r>
      <w:r w:rsidR="0093583C">
        <w:rPr>
          <w:rFonts w:cstheme="minorHAnsi"/>
          <w:szCs w:val="24"/>
        </w:rPr>
        <w:t>8</w:t>
      </w:r>
      <w:r w:rsidRPr="00E401F0">
        <w:rPr>
          <w:rFonts w:cstheme="minorHAnsi"/>
          <w:szCs w:val="24"/>
        </w:rPr>
        <w:t xml:space="preserve">%. Dla przewoźników niskokosztowych: </w:t>
      </w:r>
      <w:r w:rsidR="00B01CEE">
        <w:rPr>
          <w:rFonts w:cstheme="minorHAnsi"/>
          <w:szCs w:val="24"/>
        </w:rPr>
        <w:t>+14</w:t>
      </w:r>
      <w:r w:rsidRPr="00E401F0">
        <w:rPr>
          <w:rFonts w:cstheme="minorHAnsi"/>
          <w:szCs w:val="24"/>
        </w:rPr>
        <w:t xml:space="preserve">%, </w:t>
      </w:r>
      <w:r w:rsidR="00B01CEE">
        <w:rPr>
          <w:rFonts w:cstheme="minorHAnsi"/>
          <w:szCs w:val="24"/>
        </w:rPr>
        <w:t>+7,</w:t>
      </w:r>
      <w:r w:rsidR="0093583C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%, </w:t>
      </w:r>
      <w:r w:rsidR="00B01CEE">
        <w:rPr>
          <w:rFonts w:cstheme="minorHAnsi"/>
          <w:szCs w:val="24"/>
        </w:rPr>
        <w:t>+</w:t>
      </w:r>
      <w:r w:rsidR="0093583C">
        <w:rPr>
          <w:rFonts w:cstheme="minorHAnsi"/>
          <w:szCs w:val="24"/>
        </w:rPr>
        <w:t>13</w:t>
      </w:r>
      <w:r w:rsidRPr="00E401F0">
        <w:rPr>
          <w:rFonts w:cstheme="minorHAnsi"/>
          <w:szCs w:val="24"/>
        </w:rPr>
        <w:t xml:space="preserve">%. Dla przewoźników czarterowych: </w:t>
      </w:r>
      <w:r w:rsidR="00B01CEE">
        <w:rPr>
          <w:rFonts w:cstheme="minorHAnsi"/>
          <w:szCs w:val="24"/>
        </w:rPr>
        <w:t>+</w:t>
      </w:r>
      <w:r w:rsidR="0093583C">
        <w:rPr>
          <w:rFonts w:cstheme="minorHAnsi"/>
          <w:szCs w:val="24"/>
        </w:rPr>
        <w:t>19,</w:t>
      </w:r>
      <w:r w:rsidR="0047441E">
        <w:rPr>
          <w:rFonts w:cstheme="minorHAnsi"/>
          <w:szCs w:val="24"/>
        </w:rPr>
        <w:t>1</w:t>
      </w:r>
      <w:r w:rsidRPr="00E401F0">
        <w:rPr>
          <w:rFonts w:cstheme="minorHAnsi"/>
          <w:szCs w:val="24"/>
        </w:rPr>
        <w:t xml:space="preserve">%, </w:t>
      </w:r>
      <w:r w:rsidR="00B01CEE">
        <w:rPr>
          <w:rFonts w:cstheme="minorHAnsi"/>
          <w:szCs w:val="24"/>
        </w:rPr>
        <w:t>+16</w:t>
      </w:r>
      <w:r w:rsidRPr="00E401F0">
        <w:rPr>
          <w:rFonts w:cstheme="minorHAnsi"/>
          <w:szCs w:val="24"/>
        </w:rPr>
        <w:t xml:space="preserve">%, </w:t>
      </w:r>
      <w:r w:rsidR="00B01CEE">
        <w:rPr>
          <w:rFonts w:cstheme="minorHAnsi"/>
          <w:szCs w:val="24"/>
        </w:rPr>
        <w:t>+</w:t>
      </w:r>
      <w:r w:rsidR="0047441E">
        <w:rPr>
          <w:rFonts w:cstheme="minorHAnsi"/>
          <w:szCs w:val="24"/>
        </w:rPr>
        <w:t>3,6</w:t>
      </w:r>
      <w:r w:rsidRPr="00E401F0">
        <w:rPr>
          <w:rFonts w:cstheme="minorHAnsi"/>
          <w:szCs w:val="24"/>
        </w:rPr>
        <w:t xml:space="preserve">%. Dynamiki względem </w:t>
      </w:r>
      <w:r w:rsidR="0074694C">
        <w:rPr>
          <w:rFonts w:cstheme="minorHAnsi"/>
          <w:szCs w:val="24"/>
        </w:rPr>
        <w:t>analogicznych miesięcy roku 202</w:t>
      </w:r>
      <w:r w:rsidR="00B01CEE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przedstawiają się w sposób następujący: ruch pasażerski </w:t>
      </w:r>
      <w:r w:rsidR="0004158D" w:rsidRPr="00E401F0">
        <w:rPr>
          <w:rFonts w:cstheme="minorHAnsi"/>
          <w:szCs w:val="24"/>
        </w:rPr>
        <w:t>ogółem</w:t>
      </w:r>
      <w:r w:rsidR="006801B7">
        <w:rPr>
          <w:rFonts w:cstheme="minorHAnsi"/>
          <w:szCs w:val="24"/>
        </w:rPr>
        <w:t xml:space="preserve"> +26,8%, +24,9%, +22,</w:t>
      </w:r>
      <w:r w:rsidR="0047441E">
        <w:rPr>
          <w:rFonts w:cstheme="minorHAnsi"/>
          <w:szCs w:val="24"/>
        </w:rPr>
        <w:t>3</w:t>
      </w:r>
      <w:r w:rsidR="006801B7">
        <w:rPr>
          <w:rFonts w:cstheme="minorHAnsi"/>
          <w:szCs w:val="24"/>
        </w:rPr>
        <w:t>%</w:t>
      </w:r>
      <w:r w:rsidRPr="00E401F0">
        <w:rPr>
          <w:rFonts w:cstheme="minorHAnsi"/>
          <w:szCs w:val="24"/>
        </w:rPr>
        <w:t xml:space="preserve">; przewoźnicy sieciowi </w:t>
      </w:r>
      <w:r w:rsidR="006801B7">
        <w:rPr>
          <w:rFonts w:cstheme="minorHAnsi"/>
          <w:szCs w:val="24"/>
        </w:rPr>
        <w:t>+27,</w:t>
      </w:r>
      <w:r w:rsidR="0047441E">
        <w:rPr>
          <w:rFonts w:cstheme="minorHAnsi"/>
          <w:szCs w:val="24"/>
        </w:rPr>
        <w:t>7</w:t>
      </w:r>
      <w:r w:rsidR="006801B7" w:rsidRPr="00E401F0">
        <w:rPr>
          <w:rFonts w:cstheme="minorHAnsi"/>
          <w:szCs w:val="24"/>
        </w:rPr>
        <w:t xml:space="preserve">%, </w:t>
      </w:r>
      <w:r w:rsidR="006801B7">
        <w:rPr>
          <w:rFonts w:cstheme="minorHAnsi"/>
          <w:szCs w:val="24"/>
        </w:rPr>
        <w:t>+21,2</w:t>
      </w:r>
      <w:r w:rsidR="006801B7" w:rsidRPr="00E401F0">
        <w:rPr>
          <w:rFonts w:cstheme="minorHAnsi"/>
          <w:szCs w:val="24"/>
        </w:rPr>
        <w:t xml:space="preserve">%, </w:t>
      </w:r>
      <w:r w:rsidR="006801B7">
        <w:rPr>
          <w:rFonts w:cstheme="minorHAnsi"/>
          <w:szCs w:val="24"/>
        </w:rPr>
        <w:t>+</w:t>
      </w:r>
      <w:r w:rsidR="0047441E">
        <w:rPr>
          <w:rFonts w:cstheme="minorHAnsi"/>
          <w:szCs w:val="24"/>
        </w:rPr>
        <w:t>18,9</w:t>
      </w:r>
      <w:r w:rsidR="006801B7" w:rsidRPr="00E401F0">
        <w:rPr>
          <w:rFonts w:cstheme="minorHAnsi"/>
          <w:szCs w:val="24"/>
        </w:rPr>
        <w:t>%</w:t>
      </w:r>
      <w:r w:rsidR="006801B7">
        <w:rPr>
          <w:rFonts w:cstheme="minorHAnsi"/>
          <w:szCs w:val="24"/>
        </w:rPr>
        <w:t xml:space="preserve">; </w:t>
      </w:r>
      <w:r w:rsidRPr="00E401F0">
        <w:rPr>
          <w:rFonts w:cstheme="minorHAnsi"/>
          <w:szCs w:val="24"/>
        </w:rPr>
        <w:t>przewoźnicy niskokosztowi +</w:t>
      </w:r>
      <w:r w:rsidR="006801B7">
        <w:rPr>
          <w:rFonts w:cstheme="minorHAnsi"/>
          <w:szCs w:val="24"/>
        </w:rPr>
        <w:t>25,8</w:t>
      </w:r>
      <w:r w:rsidRPr="00E401F0">
        <w:rPr>
          <w:rFonts w:cstheme="minorHAnsi"/>
          <w:szCs w:val="24"/>
        </w:rPr>
        <w:t>%, +</w:t>
      </w:r>
      <w:r w:rsidR="0047441E">
        <w:rPr>
          <w:rFonts w:cstheme="minorHAnsi"/>
          <w:szCs w:val="24"/>
        </w:rPr>
        <w:t>23</w:t>
      </w:r>
      <w:r w:rsidRPr="00E401F0">
        <w:rPr>
          <w:rFonts w:cstheme="minorHAnsi"/>
          <w:szCs w:val="24"/>
        </w:rPr>
        <w:t>%, +</w:t>
      </w:r>
      <w:r w:rsidR="006801B7">
        <w:rPr>
          <w:rFonts w:cstheme="minorHAnsi"/>
          <w:szCs w:val="24"/>
        </w:rPr>
        <w:t>24,</w:t>
      </w:r>
      <w:r w:rsidR="0047441E">
        <w:rPr>
          <w:rFonts w:cstheme="minorHAnsi"/>
          <w:szCs w:val="24"/>
        </w:rPr>
        <w:t>6</w:t>
      </w:r>
      <w:r w:rsidRPr="00E401F0">
        <w:rPr>
          <w:rFonts w:cstheme="minorHAnsi"/>
          <w:szCs w:val="24"/>
        </w:rPr>
        <w:t>%; przewoźnicy czarterowi +</w:t>
      </w:r>
      <w:r w:rsidR="0047441E">
        <w:rPr>
          <w:rFonts w:cstheme="minorHAnsi"/>
          <w:szCs w:val="24"/>
        </w:rPr>
        <w:t>28,1</w:t>
      </w:r>
      <w:r w:rsidR="0004158D" w:rsidRPr="00E401F0">
        <w:rPr>
          <w:rFonts w:cstheme="minorHAnsi"/>
          <w:szCs w:val="24"/>
        </w:rPr>
        <w:t>%, +</w:t>
      </w:r>
      <w:r w:rsidR="0047441E">
        <w:rPr>
          <w:rFonts w:cstheme="minorHAnsi"/>
          <w:szCs w:val="24"/>
        </w:rPr>
        <w:t>52,1</w:t>
      </w:r>
      <w:r w:rsidRPr="00E401F0">
        <w:rPr>
          <w:rFonts w:cstheme="minorHAnsi"/>
          <w:szCs w:val="24"/>
        </w:rPr>
        <w:t>%, +</w:t>
      </w:r>
      <w:r w:rsidR="003B75D1">
        <w:rPr>
          <w:rFonts w:cstheme="minorHAnsi"/>
          <w:szCs w:val="24"/>
        </w:rPr>
        <w:t>26</w:t>
      </w:r>
      <w:r w:rsidRPr="00E401F0">
        <w:rPr>
          <w:rFonts w:cstheme="minorHAnsi"/>
          <w:szCs w:val="24"/>
        </w:rPr>
        <w:t xml:space="preserve">%. </w:t>
      </w:r>
    </w:p>
    <w:p w14:paraId="6D4E7E74" w14:textId="77777777" w:rsidR="00274935" w:rsidRDefault="00274935" w:rsidP="00274935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76B3E3A2" wp14:editId="35C6DEE9">
            <wp:extent cx="4193931" cy="1943100"/>
            <wp:effectExtent l="0" t="0" r="0" b="0"/>
            <wp:docPr id="43" name="Wykres 43" descr="Wykres przedstawia łączną liczbę wykonanych operacji w danym kwartale wraz z uwzględnieniem analogicznych okresów z 2 poprzednich lat. Dane przedstawione w Tabeli 6.1 poniżej." title="Wykres 6.1 Liczba operacji (tys.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B4AFA07" w14:textId="1EAE637E" w:rsidR="001B72F1" w:rsidRPr="00050164" w:rsidRDefault="00274935" w:rsidP="00862142">
      <w:pPr>
        <w:pStyle w:val="Legenda"/>
        <w:rPr>
          <w:iCs w:val="0"/>
          <w:szCs w:val="22"/>
        </w:rPr>
      </w:pPr>
      <w:bookmarkStart w:id="15" w:name="_Toc219462783"/>
      <w:r w:rsidRPr="00050164">
        <w:rPr>
          <w:b/>
        </w:rPr>
        <w:t xml:space="preserve">Wykres 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STYLEREF 1 \s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6</w:t>
      </w:r>
      <w:r w:rsidR="00F27BCD" w:rsidRPr="00050164">
        <w:rPr>
          <w:b/>
        </w:rPr>
        <w:fldChar w:fldCharType="end"/>
      </w:r>
      <w:r w:rsidR="00F27BCD" w:rsidRPr="00050164">
        <w:rPr>
          <w:b/>
        </w:rPr>
        <w:t>.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SEQ Wykres \* ARABIC \s 1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1</w:t>
      </w:r>
      <w:r w:rsidR="00F27BCD" w:rsidRPr="00050164">
        <w:rPr>
          <w:b/>
        </w:rPr>
        <w:fldChar w:fldCharType="end"/>
      </w:r>
      <w:r w:rsidR="003E70F6" w:rsidRPr="00050164">
        <w:rPr>
          <w:noProof/>
        </w:rPr>
        <w:t xml:space="preserve"> </w:t>
      </w:r>
      <w:r w:rsidR="001B72F1" w:rsidRPr="00050164">
        <w:rPr>
          <w:noProof/>
        </w:rPr>
        <w:t xml:space="preserve">Liczba operacji (tys.) – kwartał – wykres przedstawia łączną liczbę wykonanych operacji w drugim kwartale 2025 roku wraz z uwzględnieniem lat </w:t>
      </w:r>
      <w:r w:rsidR="001B72F1" w:rsidRPr="00050164">
        <w:rPr>
          <w:iCs w:val="0"/>
          <w:szCs w:val="22"/>
        </w:rPr>
        <w:t>2024</w:t>
      </w:r>
      <w:r w:rsidR="001B72F1" w:rsidRPr="00050164">
        <w:rPr>
          <w:noProof/>
        </w:rPr>
        <w:t xml:space="preserve"> i 2023</w:t>
      </w:r>
      <w:bookmarkEnd w:id="15"/>
    </w:p>
    <w:tbl>
      <w:tblPr>
        <w:tblW w:w="2093" w:type="dxa"/>
        <w:tblInd w:w="3572" w:type="dxa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33"/>
      </w:tblGrid>
      <w:tr w:rsidR="001B72F1" w:rsidRPr="001B72F1" w14:paraId="2F26FB54" w14:textId="77777777" w:rsidTr="00234D3E">
        <w:trPr>
          <w:divId w:val="933514736"/>
          <w:trHeight w:val="317"/>
        </w:trPr>
        <w:tc>
          <w:tcPr>
            <w:tcW w:w="960" w:type="dxa"/>
            <w:shd w:val="clear" w:color="000000" w:fill="283772"/>
            <w:noWrap/>
            <w:vAlign w:val="center"/>
            <w:hideMark/>
          </w:tcPr>
          <w:p w14:paraId="0666CE91" w14:textId="77777777" w:rsidR="001B72F1" w:rsidRPr="001B72F1" w:rsidRDefault="001B72F1" w:rsidP="001B7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  <w:t>Rok</w:t>
            </w:r>
          </w:p>
        </w:tc>
        <w:tc>
          <w:tcPr>
            <w:tcW w:w="1133" w:type="dxa"/>
            <w:shd w:val="clear" w:color="000000" w:fill="283772"/>
            <w:noWrap/>
            <w:vAlign w:val="center"/>
            <w:hideMark/>
          </w:tcPr>
          <w:p w14:paraId="310F3312" w14:textId="77777777" w:rsidR="001B72F1" w:rsidRPr="001B72F1" w:rsidRDefault="001B72F1" w:rsidP="001B7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  <w:t>Kwartał</w:t>
            </w:r>
          </w:p>
        </w:tc>
      </w:tr>
      <w:tr w:rsidR="001B72F1" w:rsidRPr="001B72F1" w14:paraId="2B56D369" w14:textId="77777777" w:rsidTr="00234D3E">
        <w:trPr>
          <w:divId w:val="933514736"/>
          <w:trHeight w:val="317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5848B6D" w14:textId="77777777" w:rsidR="001B72F1" w:rsidRPr="001B72F1" w:rsidRDefault="001B72F1" w:rsidP="001B7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2025</w:t>
            </w:r>
          </w:p>
        </w:tc>
        <w:tc>
          <w:tcPr>
            <w:tcW w:w="1133" w:type="dxa"/>
            <w:shd w:val="clear" w:color="000000" w:fill="FFFFFF"/>
            <w:noWrap/>
            <w:vAlign w:val="center"/>
            <w:hideMark/>
          </w:tcPr>
          <w:p w14:paraId="48E59A22" w14:textId="77777777" w:rsidR="001B72F1" w:rsidRPr="001B72F1" w:rsidRDefault="001B72F1" w:rsidP="001B7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123 790</w:t>
            </w:r>
          </w:p>
        </w:tc>
      </w:tr>
      <w:tr w:rsidR="001B72F1" w:rsidRPr="001B72F1" w14:paraId="0EC2CB24" w14:textId="77777777" w:rsidTr="00234D3E">
        <w:trPr>
          <w:divId w:val="933514736"/>
          <w:trHeight w:val="317"/>
        </w:trPr>
        <w:tc>
          <w:tcPr>
            <w:tcW w:w="960" w:type="dxa"/>
            <w:shd w:val="clear" w:color="000000" w:fill="E0E4F4"/>
            <w:noWrap/>
            <w:vAlign w:val="center"/>
            <w:hideMark/>
          </w:tcPr>
          <w:p w14:paraId="3CF91A71" w14:textId="77777777" w:rsidR="001B72F1" w:rsidRPr="001B72F1" w:rsidRDefault="001B72F1" w:rsidP="001B7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2024</w:t>
            </w:r>
          </w:p>
        </w:tc>
        <w:tc>
          <w:tcPr>
            <w:tcW w:w="1133" w:type="dxa"/>
            <w:shd w:val="clear" w:color="000000" w:fill="E0E4F4"/>
            <w:noWrap/>
            <w:vAlign w:val="center"/>
            <w:hideMark/>
          </w:tcPr>
          <w:p w14:paraId="3B783CD7" w14:textId="77777777" w:rsidR="001B72F1" w:rsidRPr="001B72F1" w:rsidRDefault="001B72F1" w:rsidP="001B7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112 301</w:t>
            </w:r>
          </w:p>
        </w:tc>
      </w:tr>
      <w:tr w:rsidR="001B72F1" w:rsidRPr="001B72F1" w14:paraId="6803FE6E" w14:textId="77777777" w:rsidTr="00234D3E">
        <w:trPr>
          <w:divId w:val="933514736"/>
          <w:trHeight w:val="317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1F7DF0C" w14:textId="77777777" w:rsidR="001B72F1" w:rsidRPr="001B72F1" w:rsidRDefault="001B72F1" w:rsidP="001B7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2023</w:t>
            </w:r>
          </w:p>
        </w:tc>
        <w:tc>
          <w:tcPr>
            <w:tcW w:w="1133" w:type="dxa"/>
            <w:shd w:val="clear" w:color="000000" w:fill="FFFFFF"/>
            <w:noWrap/>
            <w:vAlign w:val="center"/>
            <w:hideMark/>
          </w:tcPr>
          <w:p w14:paraId="7D34A752" w14:textId="77777777" w:rsidR="001B72F1" w:rsidRPr="001B72F1" w:rsidRDefault="001B72F1" w:rsidP="001B7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99 407</w:t>
            </w:r>
          </w:p>
        </w:tc>
      </w:tr>
    </w:tbl>
    <w:p w14:paraId="72FC6C65" w14:textId="11A35DF1" w:rsidR="0004158D" w:rsidRDefault="0004158D" w:rsidP="00862142">
      <w:pPr>
        <w:pStyle w:val="Legenda"/>
        <w:rPr>
          <w:noProof/>
        </w:rPr>
      </w:pPr>
      <w:bookmarkStart w:id="16" w:name="_Toc216787126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6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operacji</w:t>
      </w:r>
      <w:r w:rsidR="00A32D8B">
        <w:rPr>
          <w:noProof/>
        </w:rPr>
        <w:t xml:space="preserve"> </w:t>
      </w:r>
      <w:r w:rsidRPr="00E401F0">
        <w:rPr>
          <w:noProof/>
        </w:rPr>
        <w:t>– kwartał</w:t>
      </w:r>
      <w:bookmarkEnd w:id="16"/>
    </w:p>
    <w:p w14:paraId="5857D4D6" w14:textId="77777777" w:rsidR="00527143" w:rsidRPr="00E401F0" w:rsidRDefault="00EF21A5" w:rsidP="005A6434">
      <w:pPr>
        <w:pStyle w:val="Nagwek1"/>
      </w:pPr>
      <w:bookmarkStart w:id="17" w:name="_Toc178665042"/>
      <w:r w:rsidRPr="00E401F0">
        <w:t>Przewozy cargo - narastająco</w:t>
      </w:r>
      <w:bookmarkEnd w:id="17"/>
    </w:p>
    <w:p w14:paraId="3C8CF19B" w14:textId="4C25FC32" w:rsidR="00527143" w:rsidRPr="002217D7" w:rsidRDefault="007B4A6D" w:rsidP="006D6719">
      <w:pPr>
        <w:rPr>
          <w:rFonts w:cstheme="minorHAnsi"/>
          <w:szCs w:val="24"/>
        </w:rPr>
      </w:pPr>
      <w:r w:rsidRPr="002217D7">
        <w:rPr>
          <w:rFonts w:cstheme="minorHAnsi"/>
          <w:szCs w:val="24"/>
        </w:rPr>
        <w:t xml:space="preserve">W </w:t>
      </w:r>
      <w:r w:rsidR="001D6FF5" w:rsidRPr="002217D7">
        <w:rPr>
          <w:rFonts w:cstheme="minorHAnsi"/>
          <w:szCs w:val="24"/>
        </w:rPr>
        <w:t xml:space="preserve">pierwszym półroczu </w:t>
      </w:r>
      <w:r w:rsidR="00527143" w:rsidRPr="002217D7">
        <w:rPr>
          <w:rFonts w:cstheme="minorHAnsi"/>
          <w:szCs w:val="24"/>
        </w:rPr>
        <w:t>202</w:t>
      </w:r>
      <w:r w:rsidR="008D186F" w:rsidRPr="002217D7">
        <w:rPr>
          <w:rFonts w:cstheme="minorHAnsi"/>
          <w:szCs w:val="24"/>
        </w:rPr>
        <w:t xml:space="preserve">5 </w:t>
      </w:r>
      <w:r w:rsidR="00527143" w:rsidRPr="002217D7">
        <w:rPr>
          <w:rFonts w:cstheme="minorHAnsi"/>
          <w:szCs w:val="24"/>
        </w:rPr>
        <w:t xml:space="preserve">roku przewieziono </w:t>
      </w:r>
      <w:r w:rsidR="00420503" w:rsidRPr="002217D7">
        <w:rPr>
          <w:rFonts w:cstheme="minorHAnsi"/>
          <w:szCs w:val="24"/>
        </w:rPr>
        <w:t>ponad</w:t>
      </w:r>
      <w:r w:rsidR="00527143" w:rsidRPr="002217D7">
        <w:rPr>
          <w:rFonts w:cstheme="minorHAnsi"/>
          <w:szCs w:val="24"/>
        </w:rPr>
        <w:t xml:space="preserve"> </w:t>
      </w:r>
      <w:r w:rsidR="00902BCF" w:rsidRPr="002217D7">
        <w:rPr>
          <w:rFonts w:cstheme="minorHAnsi"/>
          <w:szCs w:val="24"/>
        </w:rPr>
        <w:t>10</w:t>
      </w:r>
      <w:r w:rsidR="000567B3" w:rsidRPr="002217D7">
        <w:rPr>
          <w:rFonts w:cstheme="minorHAnsi"/>
          <w:szCs w:val="24"/>
        </w:rPr>
        <w:t>2,3</w:t>
      </w:r>
      <w:r w:rsidR="00527143" w:rsidRPr="002217D7">
        <w:rPr>
          <w:rFonts w:cstheme="minorHAnsi"/>
          <w:szCs w:val="24"/>
        </w:rPr>
        <w:t xml:space="preserve"> tys. ton cargo „on board”, co</w:t>
      </w:r>
      <w:r w:rsidR="003E70F6" w:rsidRPr="002217D7">
        <w:rPr>
          <w:rFonts w:cstheme="minorHAnsi"/>
          <w:szCs w:val="24"/>
        </w:rPr>
        <w:t xml:space="preserve"> </w:t>
      </w:r>
      <w:r w:rsidR="00527143" w:rsidRPr="002217D7">
        <w:rPr>
          <w:rFonts w:cstheme="minorHAnsi"/>
          <w:szCs w:val="24"/>
        </w:rPr>
        <w:t xml:space="preserve">stanowi </w:t>
      </w:r>
      <w:r w:rsidR="00902BCF" w:rsidRPr="002217D7">
        <w:rPr>
          <w:rFonts w:cstheme="minorHAnsi"/>
          <w:szCs w:val="24"/>
        </w:rPr>
        <w:t>wzrost</w:t>
      </w:r>
      <w:r w:rsidR="00527143" w:rsidRPr="002217D7">
        <w:rPr>
          <w:rFonts w:cstheme="minorHAnsi"/>
          <w:szCs w:val="24"/>
        </w:rPr>
        <w:t xml:space="preserve"> o </w:t>
      </w:r>
      <w:r w:rsidR="002217D7">
        <w:rPr>
          <w:rFonts w:cstheme="minorHAnsi"/>
          <w:szCs w:val="24"/>
        </w:rPr>
        <w:t>7,2</w:t>
      </w:r>
      <w:r w:rsidR="00527143" w:rsidRPr="002217D7">
        <w:rPr>
          <w:rFonts w:cstheme="minorHAnsi"/>
          <w:szCs w:val="24"/>
        </w:rPr>
        <w:t xml:space="preserve">% w porównaniu do </w:t>
      </w:r>
      <w:r w:rsidR="001D6FF5" w:rsidRPr="002217D7">
        <w:rPr>
          <w:rFonts w:cstheme="minorHAnsi"/>
          <w:szCs w:val="24"/>
        </w:rPr>
        <w:t xml:space="preserve">analogicznego okresu </w:t>
      </w:r>
      <w:r w:rsidR="00527143" w:rsidRPr="002217D7">
        <w:rPr>
          <w:rFonts w:cstheme="minorHAnsi"/>
          <w:szCs w:val="24"/>
        </w:rPr>
        <w:t>202</w:t>
      </w:r>
      <w:r w:rsidR="00902BCF" w:rsidRPr="002217D7">
        <w:rPr>
          <w:rFonts w:cstheme="minorHAnsi"/>
          <w:szCs w:val="24"/>
        </w:rPr>
        <w:t>4</w:t>
      </w:r>
      <w:r w:rsidR="004B71A9" w:rsidRPr="002217D7">
        <w:rPr>
          <w:rFonts w:cstheme="minorHAnsi"/>
          <w:szCs w:val="24"/>
        </w:rPr>
        <w:t xml:space="preserve"> roku i</w:t>
      </w:r>
      <w:r w:rsidR="00EA13B7" w:rsidRPr="002217D7">
        <w:rPr>
          <w:rFonts w:cstheme="minorHAnsi"/>
          <w:szCs w:val="24"/>
        </w:rPr>
        <w:t xml:space="preserve"> o </w:t>
      </w:r>
      <w:r w:rsidR="002217D7">
        <w:rPr>
          <w:rFonts w:cstheme="minorHAnsi"/>
          <w:szCs w:val="24"/>
        </w:rPr>
        <w:t>4,3</w:t>
      </w:r>
      <w:r w:rsidR="00451B0B" w:rsidRPr="002217D7">
        <w:rPr>
          <w:rFonts w:cstheme="minorHAnsi"/>
          <w:szCs w:val="24"/>
        </w:rPr>
        <w:t>% względem 2023</w:t>
      </w:r>
      <w:r w:rsidR="00527143" w:rsidRPr="002217D7">
        <w:rPr>
          <w:rFonts w:cstheme="minorHAnsi"/>
          <w:szCs w:val="24"/>
        </w:rPr>
        <w:t xml:space="preserve"> roku. Najpopularniejszymi kierunkami były </w:t>
      </w:r>
      <w:r w:rsidR="001D6FF5" w:rsidRPr="002217D7">
        <w:rPr>
          <w:rFonts w:cstheme="minorHAnsi"/>
          <w:szCs w:val="24"/>
        </w:rPr>
        <w:t>Niemcy, USA i Katar</w:t>
      </w:r>
      <w:r w:rsidR="00527143" w:rsidRPr="002217D7">
        <w:rPr>
          <w:rFonts w:cstheme="minorHAnsi"/>
          <w:szCs w:val="24"/>
        </w:rPr>
        <w:t xml:space="preserve">. Największe wzrosty ilościowe w stosunku do </w:t>
      </w:r>
      <w:r w:rsidR="001D6FF5" w:rsidRPr="002217D7">
        <w:rPr>
          <w:rFonts w:cstheme="minorHAnsi"/>
          <w:szCs w:val="24"/>
        </w:rPr>
        <w:t xml:space="preserve">pierwszej połowy </w:t>
      </w:r>
      <w:r w:rsidR="00527143" w:rsidRPr="002217D7">
        <w:rPr>
          <w:rFonts w:cstheme="minorHAnsi"/>
          <w:szCs w:val="24"/>
        </w:rPr>
        <w:t>202</w:t>
      </w:r>
      <w:r w:rsidR="00AF397F" w:rsidRPr="002217D7">
        <w:rPr>
          <w:rFonts w:cstheme="minorHAnsi"/>
          <w:szCs w:val="24"/>
        </w:rPr>
        <w:t>4</w:t>
      </w:r>
      <w:r w:rsidR="00EA13B7" w:rsidRPr="002217D7">
        <w:rPr>
          <w:rFonts w:cstheme="minorHAnsi"/>
          <w:szCs w:val="24"/>
        </w:rPr>
        <w:t xml:space="preserve"> roku odnotowano w </w:t>
      </w:r>
      <w:r w:rsidR="00527143" w:rsidRPr="002217D7">
        <w:rPr>
          <w:rFonts w:cstheme="minorHAnsi"/>
          <w:szCs w:val="24"/>
        </w:rPr>
        <w:t xml:space="preserve">przypadku </w:t>
      </w:r>
      <w:r w:rsidR="009B1581" w:rsidRPr="002217D7">
        <w:rPr>
          <w:rFonts w:cstheme="minorHAnsi"/>
          <w:szCs w:val="24"/>
        </w:rPr>
        <w:t>Chin</w:t>
      </w:r>
      <w:r w:rsidR="00527143" w:rsidRPr="002217D7">
        <w:rPr>
          <w:rFonts w:cstheme="minorHAnsi"/>
          <w:szCs w:val="24"/>
        </w:rPr>
        <w:t xml:space="preserve"> (+</w:t>
      </w:r>
      <w:r w:rsidR="00911516" w:rsidRPr="002217D7">
        <w:rPr>
          <w:rFonts w:cstheme="minorHAnsi"/>
          <w:szCs w:val="24"/>
        </w:rPr>
        <w:t xml:space="preserve">4,2 </w:t>
      </w:r>
      <w:r w:rsidR="00527143" w:rsidRPr="002217D7">
        <w:rPr>
          <w:rFonts w:cstheme="minorHAnsi"/>
          <w:szCs w:val="24"/>
        </w:rPr>
        <w:t xml:space="preserve">tys. ton), </w:t>
      </w:r>
      <w:r w:rsidR="009B1581" w:rsidRPr="002217D7">
        <w:rPr>
          <w:rFonts w:cstheme="minorHAnsi"/>
          <w:szCs w:val="24"/>
        </w:rPr>
        <w:t>Niemiec</w:t>
      </w:r>
      <w:r w:rsidR="00527143" w:rsidRPr="002217D7">
        <w:rPr>
          <w:rFonts w:cstheme="minorHAnsi"/>
          <w:szCs w:val="24"/>
        </w:rPr>
        <w:t xml:space="preserve"> (+</w:t>
      </w:r>
      <w:r w:rsidR="00C803AD" w:rsidRPr="002217D7">
        <w:rPr>
          <w:rFonts w:cstheme="minorHAnsi"/>
          <w:szCs w:val="24"/>
        </w:rPr>
        <w:t>2,</w:t>
      </w:r>
      <w:r w:rsidR="002217D7">
        <w:rPr>
          <w:rFonts w:cstheme="minorHAnsi"/>
          <w:szCs w:val="24"/>
        </w:rPr>
        <w:t>5</w:t>
      </w:r>
      <w:r w:rsidR="003C372C" w:rsidRPr="002217D7">
        <w:rPr>
          <w:rFonts w:cstheme="minorHAnsi"/>
          <w:szCs w:val="24"/>
        </w:rPr>
        <w:t xml:space="preserve"> tys. ton) oraz</w:t>
      </w:r>
      <w:r w:rsidR="00527143" w:rsidRPr="002217D7">
        <w:rPr>
          <w:rFonts w:cstheme="minorHAnsi"/>
          <w:szCs w:val="24"/>
        </w:rPr>
        <w:t xml:space="preserve"> </w:t>
      </w:r>
      <w:r w:rsidR="001D6FF5" w:rsidRPr="002217D7">
        <w:rPr>
          <w:rFonts w:cstheme="minorHAnsi"/>
          <w:szCs w:val="24"/>
        </w:rPr>
        <w:t>Ka</w:t>
      </w:r>
      <w:r w:rsidR="009B1581" w:rsidRPr="002217D7">
        <w:rPr>
          <w:rFonts w:cstheme="minorHAnsi"/>
          <w:szCs w:val="24"/>
        </w:rPr>
        <w:t>taru</w:t>
      </w:r>
      <w:r w:rsidR="003C372C" w:rsidRPr="002217D7">
        <w:rPr>
          <w:rFonts w:cstheme="minorHAnsi"/>
          <w:szCs w:val="24"/>
        </w:rPr>
        <w:t xml:space="preserve"> (+</w:t>
      </w:r>
      <w:r w:rsidR="009B1581" w:rsidRPr="002217D7">
        <w:rPr>
          <w:rFonts w:cstheme="minorHAnsi"/>
          <w:szCs w:val="24"/>
        </w:rPr>
        <w:t>2</w:t>
      </w:r>
      <w:r w:rsidR="002217D7">
        <w:rPr>
          <w:rFonts w:cstheme="minorHAnsi"/>
          <w:szCs w:val="24"/>
        </w:rPr>
        <w:t>,1</w:t>
      </w:r>
      <w:r w:rsidR="003C372C" w:rsidRPr="002217D7">
        <w:rPr>
          <w:rFonts w:cstheme="minorHAnsi"/>
          <w:szCs w:val="24"/>
        </w:rPr>
        <w:t xml:space="preserve"> tys. ton). </w:t>
      </w:r>
      <w:r w:rsidR="00EA13B7" w:rsidRPr="002217D7">
        <w:rPr>
          <w:rFonts w:cstheme="minorHAnsi"/>
          <w:szCs w:val="24"/>
        </w:rPr>
        <w:t>W </w:t>
      </w:r>
      <w:r w:rsidR="001D6FF5" w:rsidRPr="002217D7">
        <w:rPr>
          <w:rFonts w:cstheme="minorHAnsi"/>
          <w:szCs w:val="24"/>
        </w:rPr>
        <w:t xml:space="preserve">pierwszej części </w:t>
      </w:r>
      <w:r w:rsidR="00527143" w:rsidRPr="002217D7">
        <w:rPr>
          <w:rFonts w:cstheme="minorHAnsi"/>
          <w:szCs w:val="24"/>
        </w:rPr>
        <w:t>202</w:t>
      </w:r>
      <w:r w:rsidR="00911516" w:rsidRPr="002217D7">
        <w:rPr>
          <w:rFonts w:cstheme="minorHAnsi"/>
          <w:szCs w:val="24"/>
        </w:rPr>
        <w:t>5</w:t>
      </w:r>
      <w:r w:rsidR="00527143" w:rsidRPr="002217D7">
        <w:rPr>
          <w:rFonts w:cstheme="minorHAnsi"/>
          <w:szCs w:val="24"/>
        </w:rPr>
        <w:t xml:space="preserve"> roku najwięcej cargo przewiózł PLL LOT – </w:t>
      </w:r>
      <w:r w:rsidR="000567B3" w:rsidRPr="002217D7">
        <w:rPr>
          <w:rFonts w:cstheme="minorHAnsi"/>
          <w:szCs w:val="24"/>
        </w:rPr>
        <w:t>24,6</w:t>
      </w:r>
      <w:r w:rsidR="00C803AD" w:rsidRPr="002217D7">
        <w:rPr>
          <w:rFonts w:cstheme="minorHAnsi"/>
          <w:szCs w:val="24"/>
        </w:rPr>
        <w:t xml:space="preserve"> </w:t>
      </w:r>
      <w:r w:rsidR="00527143" w:rsidRPr="002217D7">
        <w:rPr>
          <w:rFonts w:cstheme="minorHAnsi"/>
          <w:szCs w:val="24"/>
        </w:rPr>
        <w:t>tys. ton. Na kolejnych miejscach znajdowa</w:t>
      </w:r>
      <w:r w:rsidR="00F011A2">
        <w:rPr>
          <w:rFonts w:cstheme="minorHAnsi"/>
          <w:szCs w:val="24"/>
        </w:rPr>
        <w:t>ł</w:t>
      </w:r>
      <w:r w:rsidR="00527143" w:rsidRPr="002217D7">
        <w:rPr>
          <w:rFonts w:cstheme="minorHAnsi"/>
          <w:szCs w:val="24"/>
        </w:rPr>
        <w:t xml:space="preserve"> się DHL (</w:t>
      </w:r>
      <w:r w:rsidR="00911516" w:rsidRPr="002217D7">
        <w:rPr>
          <w:rFonts w:cstheme="minorHAnsi"/>
          <w:szCs w:val="24"/>
        </w:rPr>
        <w:t>17,</w:t>
      </w:r>
      <w:r w:rsidR="002217D7">
        <w:rPr>
          <w:rFonts w:cstheme="minorHAnsi"/>
          <w:szCs w:val="24"/>
        </w:rPr>
        <w:t>8</w:t>
      </w:r>
      <w:r w:rsidR="00527143" w:rsidRPr="002217D7">
        <w:rPr>
          <w:rFonts w:cstheme="minorHAnsi"/>
          <w:szCs w:val="24"/>
        </w:rPr>
        <w:t xml:space="preserve"> tys. ton) i </w:t>
      </w:r>
      <w:r w:rsidR="001D6FF5" w:rsidRPr="002217D7">
        <w:rPr>
          <w:rFonts w:cstheme="minorHAnsi"/>
          <w:szCs w:val="24"/>
        </w:rPr>
        <w:t>Qatar Airways</w:t>
      </w:r>
      <w:r w:rsidR="00527143" w:rsidRPr="002217D7">
        <w:rPr>
          <w:rFonts w:cstheme="minorHAnsi"/>
          <w:szCs w:val="24"/>
        </w:rPr>
        <w:t xml:space="preserve"> (</w:t>
      </w:r>
      <w:r w:rsidR="00911516" w:rsidRPr="002217D7">
        <w:rPr>
          <w:rFonts w:cstheme="minorHAnsi"/>
          <w:szCs w:val="24"/>
        </w:rPr>
        <w:t>7</w:t>
      </w:r>
      <w:r w:rsidR="001D6FF5" w:rsidRPr="002217D7">
        <w:rPr>
          <w:rFonts w:cstheme="minorHAnsi"/>
          <w:szCs w:val="24"/>
        </w:rPr>
        <w:t>,8</w:t>
      </w:r>
      <w:r w:rsidR="00527143" w:rsidRPr="002217D7">
        <w:rPr>
          <w:rFonts w:cstheme="minorHAnsi"/>
          <w:szCs w:val="24"/>
        </w:rPr>
        <w:t xml:space="preserve"> tys. ton)</w:t>
      </w:r>
      <w:r w:rsidR="003C372C" w:rsidRPr="002217D7">
        <w:rPr>
          <w:rFonts w:cstheme="minorHAnsi"/>
          <w:szCs w:val="24"/>
        </w:rPr>
        <w:t>. Największy ilościowy wzrost w </w:t>
      </w:r>
      <w:r w:rsidR="00527143" w:rsidRPr="002217D7">
        <w:rPr>
          <w:rFonts w:cstheme="minorHAnsi"/>
          <w:szCs w:val="24"/>
        </w:rPr>
        <w:t xml:space="preserve">stosunku do </w:t>
      </w:r>
      <w:r w:rsidR="001D6FF5" w:rsidRPr="002217D7">
        <w:rPr>
          <w:rFonts w:cstheme="minorHAnsi"/>
          <w:szCs w:val="24"/>
        </w:rPr>
        <w:t xml:space="preserve">analogicznego okresu </w:t>
      </w:r>
      <w:r w:rsidR="00527143" w:rsidRPr="002217D7">
        <w:rPr>
          <w:rFonts w:cstheme="minorHAnsi"/>
          <w:szCs w:val="24"/>
        </w:rPr>
        <w:t>202</w:t>
      </w:r>
      <w:r w:rsidR="006D6719" w:rsidRPr="002217D7">
        <w:rPr>
          <w:rFonts w:cstheme="minorHAnsi"/>
          <w:szCs w:val="24"/>
        </w:rPr>
        <w:t>4</w:t>
      </w:r>
      <w:r w:rsidR="00527143" w:rsidRPr="002217D7">
        <w:rPr>
          <w:rFonts w:cstheme="minorHAnsi"/>
          <w:szCs w:val="24"/>
        </w:rPr>
        <w:t xml:space="preserve"> roku wykazał</w:t>
      </w:r>
      <w:r w:rsidR="006D6719" w:rsidRPr="002217D7">
        <w:rPr>
          <w:rFonts w:cstheme="minorHAnsi"/>
          <w:szCs w:val="24"/>
        </w:rPr>
        <w:t>o Sky</w:t>
      </w:r>
      <w:r w:rsidR="002217D7">
        <w:rPr>
          <w:rFonts w:cstheme="minorHAnsi"/>
          <w:szCs w:val="24"/>
        </w:rPr>
        <w:t>T</w:t>
      </w:r>
      <w:r w:rsidR="006D6719" w:rsidRPr="002217D7">
        <w:rPr>
          <w:rFonts w:cstheme="minorHAnsi"/>
          <w:szCs w:val="24"/>
        </w:rPr>
        <w:t xml:space="preserve">axi </w:t>
      </w:r>
      <w:r w:rsidR="00527143" w:rsidRPr="002217D7">
        <w:rPr>
          <w:rFonts w:cstheme="minorHAnsi"/>
          <w:szCs w:val="24"/>
        </w:rPr>
        <w:t>(+</w:t>
      </w:r>
      <w:r w:rsidR="000567B3" w:rsidRPr="002217D7">
        <w:rPr>
          <w:rFonts w:cstheme="minorHAnsi"/>
          <w:szCs w:val="24"/>
        </w:rPr>
        <w:t>4,</w:t>
      </w:r>
      <w:r w:rsidR="002217D7">
        <w:rPr>
          <w:rFonts w:cstheme="minorHAnsi"/>
          <w:szCs w:val="24"/>
        </w:rPr>
        <w:t>2</w:t>
      </w:r>
      <w:r w:rsidR="00527143" w:rsidRPr="002217D7">
        <w:rPr>
          <w:rFonts w:cstheme="minorHAnsi"/>
          <w:szCs w:val="24"/>
        </w:rPr>
        <w:t xml:space="preserve"> tys. ton), </w:t>
      </w:r>
      <w:r w:rsidR="000567B3" w:rsidRPr="002217D7">
        <w:rPr>
          <w:rFonts w:cstheme="minorHAnsi"/>
          <w:szCs w:val="24"/>
        </w:rPr>
        <w:t>PLL LOT</w:t>
      </w:r>
      <w:r w:rsidR="002217D7">
        <w:rPr>
          <w:rFonts w:cstheme="minorHAnsi"/>
          <w:szCs w:val="24"/>
        </w:rPr>
        <w:t xml:space="preserve"> </w:t>
      </w:r>
      <w:r w:rsidR="000567B3" w:rsidRPr="002217D7">
        <w:rPr>
          <w:rFonts w:cstheme="minorHAnsi"/>
          <w:szCs w:val="24"/>
        </w:rPr>
        <w:t>(+3,1</w:t>
      </w:r>
      <w:r w:rsidR="006D6719" w:rsidRPr="002217D7">
        <w:rPr>
          <w:rFonts w:cstheme="minorHAnsi"/>
          <w:szCs w:val="24"/>
        </w:rPr>
        <w:t xml:space="preserve"> tys. ton) </w:t>
      </w:r>
      <w:r w:rsidR="00527143" w:rsidRPr="002217D7">
        <w:rPr>
          <w:rFonts w:cstheme="minorHAnsi"/>
          <w:szCs w:val="24"/>
        </w:rPr>
        <w:t xml:space="preserve">oraz </w:t>
      </w:r>
      <w:r w:rsidR="006D6719" w:rsidRPr="002217D7">
        <w:rPr>
          <w:rFonts w:cstheme="minorHAnsi"/>
          <w:szCs w:val="24"/>
        </w:rPr>
        <w:t>Sichuan Airlines</w:t>
      </w:r>
      <w:r w:rsidR="007F42F2" w:rsidRPr="002217D7">
        <w:rPr>
          <w:rFonts w:cstheme="minorHAnsi"/>
          <w:szCs w:val="24"/>
        </w:rPr>
        <w:t xml:space="preserve"> </w:t>
      </w:r>
      <w:r w:rsidR="00527143" w:rsidRPr="002217D7">
        <w:rPr>
          <w:rFonts w:cstheme="minorHAnsi"/>
          <w:szCs w:val="24"/>
        </w:rPr>
        <w:t>(+</w:t>
      </w:r>
      <w:r w:rsidR="002217D7">
        <w:rPr>
          <w:rFonts w:cstheme="minorHAnsi"/>
          <w:szCs w:val="24"/>
        </w:rPr>
        <w:t>2</w:t>
      </w:r>
      <w:r w:rsidR="006D6719" w:rsidRPr="002217D7">
        <w:rPr>
          <w:rFonts w:cstheme="minorHAnsi"/>
          <w:szCs w:val="24"/>
        </w:rPr>
        <w:t xml:space="preserve"> </w:t>
      </w:r>
      <w:r w:rsidR="00527143" w:rsidRPr="002217D7">
        <w:rPr>
          <w:rFonts w:cstheme="minorHAnsi"/>
          <w:szCs w:val="24"/>
        </w:rPr>
        <w:t xml:space="preserve">tys. ton). </w:t>
      </w:r>
    </w:p>
    <w:p w14:paraId="061D9550" w14:textId="4D3DA49B" w:rsidR="00527143" w:rsidRDefault="00527143" w:rsidP="00EF21A5">
      <w:pPr>
        <w:rPr>
          <w:rFonts w:cstheme="minorHAnsi"/>
          <w:szCs w:val="24"/>
        </w:rPr>
      </w:pPr>
      <w:r w:rsidRPr="002217D7">
        <w:rPr>
          <w:rFonts w:cstheme="minorHAnsi"/>
          <w:szCs w:val="24"/>
        </w:rPr>
        <w:t xml:space="preserve">Wśród lotnisk największy tonaż </w:t>
      </w:r>
      <w:r w:rsidR="007B4A6D" w:rsidRPr="002217D7">
        <w:rPr>
          <w:rFonts w:cstheme="minorHAnsi"/>
          <w:szCs w:val="24"/>
        </w:rPr>
        <w:t xml:space="preserve">w </w:t>
      </w:r>
      <w:r w:rsidR="001D6FF5" w:rsidRPr="002217D7">
        <w:rPr>
          <w:rFonts w:cstheme="minorHAnsi"/>
          <w:szCs w:val="24"/>
        </w:rPr>
        <w:t xml:space="preserve">pierwszej połowie </w:t>
      </w:r>
      <w:r w:rsidR="0076152B" w:rsidRPr="002217D7">
        <w:rPr>
          <w:rFonts w:cstheme="minorHAnsi"/>
          <w:szCs w:val="24"/>
        </w:rPr>
        <w:t>202</w:t>
      </w:r>
      <w:r w:rsidR="00911516" w:rsidRPr="002217D7">
        <w:rPr>
          <w:rFonts w:cstheme="minorHAnsi"/>
          <w:szCs w:val="24"/>
        </w:rPr>
        <w:t>5</w:t>
      </w:r>
      <w:r w:rsidR="0076152B" w:rsidRPr="002217D7">
        <w:rPr>
          <w:rFonts w:cstheme="minorHAnsi"/>
          <w:szCs w:val="24"/>
        </w:rPr>
        <w:t xml:space="preserve"> roku obsłużyło L</w:t>
      </w:r>
      <w:r w:rsidR="00EA13B7" w:rsidRPr="002217D7">
        <w:rPr>
          <w:rFonts w:cstheme="minorHAnsi"/>
          <w:szCs w:val="24"/>
        </w:rPr>
        <w:t>otnisko Chopina w </w:t>
      </w:r>
      <w:r w:rsidRPr="002217D7">
        <w:rPr>
          <w:rFonts w:cstheme="minorHAnsi"/>
          <w:szCs w:val="24"/>
        </w:rPr>
        <w:t xml:space="preserve">Warszawie – </w:t>
      </w:r>
      <w:r w:rsidR="00765CDA" w:rsidRPr="002217D7">
        <w:rPr>
          <w:rFonts w:cstheme="minorHAnsi"/>
          <w:szCs w:val="24"/>
        </w:rPr>
        <w:t>63,2</w:t>
      </w:r>
      <w:r w:rsidRPr="002217D7">
        <w:rPr>
          <w:rFonts w:cstheme="minorHAnsi"/>
          <w:szCs w:val="24"/>
        </w:rPr>
        <w:t xml:space="preserve"> tys. ton, co stanowi </w:t>
      </w:r>
      <w:r w:rsidR="00765CDA" w:rsidRPr="002217D7">
        <w:rPr>
          <w:rFonts w:cstheme="minorHAnsi"/>
          <w:szCs w:val="24"/>
        </w:rPr>
        <w:t>61,</w:t>
      </w:r>
      <w:r w:rsidR="00183B5E">
        <w:rPr>
          <w:rFonts w:cstheme="minorHAnsi"/>
          <w:szCs w:val="24"/>
        </w:rPr>
        <w:t>8</w:t>
      </w:r>
      <w:r w:rsidRPr="002217D7">
        <w:rPr>
          <w:rFonts w:cstheme="minorHAnsi"/>
          <w:szCs w:val="24"/>
        </w:rPr>
        <w:t>% całego cargo przewiez</w:t>
      </w:r>
      <w:r w:rsidR="003C372C" w:rsidRPr="002217D7">
        <w:rPr>
          <w:rFonts w:cstheme="minorHAnsi"/>
          <w:szCs w:val="24"/>
        </w:rPr>
        <w:t>ionego na pokładach samolotów w </w:t>
      </w:r>
      <w:r w:rsidRPr="002217D7">
        <w:rPr>
          <w:rFonts w:cstheme="minorHAnsi"/>
          <w:szCs w:val="24"/>
        </w:rPr>
        <w:t>polskich portach lotniczych w tym okres</w:t>
      </w:r>
      <w:r w:rsidR="003C372C" w:rsidRPr="002217D7">
        <w:rPr>
          <w:rFonts w:cstheme="minorHAnsi"/>
          <w:szCs w:val="24"/>
        </w:rPr>
        <w:t>ie. Największe wzrosty ilościowe</w:t>
      </w:r>
      <w:r w:rsidRPr="002217D7">
        <w:rPr>
          <w:rFonts w:cstheme="minorHAnsi"/>
          <w:szCs w:val="24"/>
        </w:rPr>
        <w:t xml:space="preserve"> w</w:t>
      </w:r>
      <w:r w:rsidR="00EA13B7" w:rsidRPr="002217D7">
        <w:rPr>
          <w:rFonts w:cstheme="minorHAnsi"/>
          <w:szCs w:val="24"/>
        </w:rPr>
        <w:t> </w:t>
      </w:r>
      <w:r w:rsidRPr="002217D7">
        <w:rPr>
          <w:rFonts w:cstheme="minorHAnsi"/>
          <w:szCs w:val="24"/>
        </w:rPr>
        <w:t xml:space="preserve">stosunku do </w:t>
      </w:r>
      <w:r w:rsidR="001D6FF5" w:rsidRPr="002217D7">
        <w:rPr>
          <w:rFonts w:cstheme="minorHAnsi"/>
          <w:szCs w:val="24"/>
        </w:rPr>
        <w:t xml:space="preserve">pierwszego półrocza </w:t>
      </w:r>
      <w:r w:rsidRPr="002217D7">
        <w:rPr>
          <w:rFonts w:cstheme="minorHAnsi"/>
          <w:szCs w:val="24"/>
        </w:rPr>
        <w:t>202</w:t>
      </w:r>
      <w:r w:rsidR="00765CDA" w:rsidRPr="002217D7">
        <w:rPr>
          <w:rFonts w:cstheme="minorHAnsi"/>
          <w:szCs w:val="24"/>
        </w:rPr>
        <w:t>4</w:t>
      </w:r>
      <w:r w:rsidRPr="002217D7">
        <w:rPr>
          <w:rFonts w:cstheme="minorHAnsi"/>
          <w:szCs w:val="24"/>
        </w:rPr>
        <w:t xml:space="preserve"> </w:t>
      </w:r>
      <w:r w:rsidR="003C372C" w:rsidRPr="002217D7">
        <w:rPr>
          <w:rFonts w:cstheme="minorHAnsi"/>
          <w:szCs w:val="24"/>
        </w:rPr>
        <w:t xml:space="preserve">roku </w:t>
      </w:r>
      <w:r w:rsidR="004B71A9" w:rsidRPr="002217D7">
        <w:rPr>
          <w:rFonts w:cstheme="minorHAnsi"/>
          <w:szCs w:val="24"/>
        </w:rPr>
        <w:t>odnotowa</w:t>
      </w:r>
      <w:r w:rsidR="00F40C22" w:rsidRPr="002217D7">
        <w:rPr>
          <w:rFonts w:cstheme="minorHAnsi"/>
          <w:szCs w:val="24"/>
        </w:rPr>
        <w:t>ło</w:t>
      </w:r>
      <w:r w:rsidRPr="002217D7">
        <w:rPr>
          <w:rFonts w:cstheme="minorHAnsi"/>
          <w:szCs w:val="24"/>
        </w:rPr>
        <w:t xml:space="preserve"> </w:t>
      </w:r>
      <w:r w:rsidR="0076152B" w:rsidRPr="002217D7">
        <w:rPr>
          <w:rFonts w:cstheme="minorHAnsi"/>
          <w:szCs w:val="24"/>
        </w:rPr>
        <w:t>L</w:t>
      </w:r>
      <w:r w:rsidR="004B71A9" w:rsidRPr="002217D7">
        <w:rPr>
          <w:rFonts w:cstheme="minorHAnsi"/>
          <w:szCs w:val="24"/>
        </w:rPr>
        <w:t>otnisk</w:t>
      </w:r>
      <w:r w:rsidR="00F40C22" w:rsidRPr="002217D7">
        <w:rPr>
          <w:rFonts w:cstheme="minorHAnsi"/>
          <w:szCs w:val="24"/>
        </w:rPr>
        <w:t>o</w:t>
      </w:r>
      <w:r w:rsidR="0076152B" w:rsidRPr="002217D7">
        <w:rPr>
          <w:rFonts w:cstheme="minorHAnsi"/>
          <w:szCs w:val="24"/>
        </w:rPr>
        <w:t xml:space="preserve"> Chopina w Warszawie </w:t>
      </w:r>
      <w:r w:rsidR="007F42F2" w:rsidRPr="002217D7">
        <w:rPr>
          <w:rFonts w:cstheme="minorHAnsi"/>
          <w:szCs w:val="24"/>
        </w:rPr>
        <w:t>(</w:t>
      </w:r>
      <w:r w:rsidR="00765CDA" w:rsidRPr="002217D7">
        <w:rPr>
          <w:rFonts w:cstheme="minorHAnsi"/>
          <w:szCs w:val="24"/>
        </w:rPr>
        <w:t>+9,</w:t>
      </w:r>
      <w:r w:rsidR="00183B5E">
        <w:rPr>
          <w:rFonts w:cstheme="minorHAnsi"/>
          <w:szCs w:val="24"/>
        </w:rPr>
        <w:t>7</w:t>
      </w:r>
      <w:r w:rsidR="00EA13B7" w:rsidRPr="002217D7">
        <w:rPr>
          <w:rFonts w:cstheme="minorHAnsi"/>
          <w:szCs w:val="24"/>
        </w:rPr>
        <w:t> </w:t>
      </w:r>
      <w:r w:rsidR="0076152B" w:rsidRPr="002217D7">
        <w:rPr>
          <w:rFonts w:cstheme="minorHAnsi"/>
          <w:szCs w:val="24"/>
        </w:rPr>
        <w:t>tys.</w:t>
      </w:r>
      <w:r w:rsidR="007F42F2" w:rsidRPr="002217D7">
        <w:rPr>
          <w:rFonts w:cstheme="minorHAnsi"/>
          <w:szCs w:val="24"/>
        </w:rPr>
        <w:t xml:space="preserve"> ton)</w:t>
      </w:r>
      <w:r w:rsidR="001D6FF5" w:rsidRPr="002217D7">
        <w:rPr>
          <w:rFonts w:cstheme="minorHAnsi"/>
          <w:szCs w:val="24"/>
        </w:rPr>
        <w:t xml:space="preserve">, </w:t>
      </w:r>
      <w:r w:rsidR="00F40C22" w:rsidRPr="002217D7">
        <w:rPr>
          <w:rFonts w:cstheme="minorHAnsi"/>
          <w:szCs w:val="24"/>
        </w:rPr>
        <w:t xml:space="preserve">a następnie </w:t>
      </w:r>
      <w:r w:rsidR="001D6FF5" w:rsidRPr="002217D7">
        <w:rPr>
          <w:rFonts w:cstheme="minorHAnsi"/>
          <w:szCs w:val="24"/>
        </w:rPr>
        <w:t>Port Lot</w:t>
      </w:r>
      <w:r w:rsidR="00765CDA" w:rsidRPr="002217D7">
        <w:rPr>
          <w:rFonts w:cstheme="minorHAnsi"/>
          <w:szCs w:val="24"/>
        </w:rPr>
        <w:t>niczy Katowice w Pyrzowicach (+1</w:t>
      </w:r>
      <w:r w:rsidR="001D6FF5" w:rsidRPr="002217D7">
        <w:rPr>
          <w:rFonts w:cstheme="minorHAnsi"/>
          <w:szCs w:val="24"/>
        </w:rPr>
        <w:t>,3 tys. ton)</w:t>
      </w:r>
      <w:r w:rsidR="000567B3" w:rsidRPr="002217D7">
        <w:rPr>
          <w:rFonts w:cstheme="minorHAnsi"/>
          <w:szCs w:val="24"/>
        </w:rPr>
        <w:t>.</w:t>
      </w:r>
    </w:p>
    <w:p w14:paraId="37F5D4E9" w14:textId="744CAFCE" w:rsidR="00AF47F0" w:rsidRDefault="00BC6780" w:rsidP="00AF47F0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23A5513E" wp14:editId="3060E624">
            <wp:extent cx="4135714" cy="2340000"/>
            <wp:effectExtent l="0" t="0" r="0" b="3175"/>
            <wp:docPr id="12" name="Wykres 12" descr="Wykres przedstawia ilość cargo przewiezionego na pokładach samolotów w minionych kwartałach z uwzględnieniem analogicznych okresów z poprzednich 2 lat. Dane przedstawione w Tabeli 7.1 poniżej." title="Wykres 7.1 Ilość cargo „on board” (tys. ton) – narastająco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7DE81B5" w14:textId="3EEA0E0C" w:rsidR="001B72F1" w:rsidRPr="00050164" w:rsidRDefault="00AF47F0" w:rsidP="00071292">
      <w:pPr>
        <w:pStyle w:val="Legenda"/>
        <w:rPr>
          <w:iCs w:val="0"/>
          <w:szCs w:val="22"/>
        </w:rPr>
      </w:pPr>
      <w:bookmarkStart w:id="18" w:name="_Toc219462784"/>
      <w:r w:rsidRPr="00050164">
        <w:rPr>
          <w:b/>
        </w:rPr>
        <w:t xml:space="preserve">Wykres 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STYLEREF 1 \s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7</w:t>
      </w:r>
      <w:r w:rsidR="00F27BCD" w:rsidRPr="00050164">
        <w:rPr>
          <w:b/>
        </w:rPr>
        <w:fldChar w:fldCharType="end"/>
      </w:r>
      <w:r w:rsidR="00F27BCD" w:rsidRPr="00050164">
        <w:rPr>
          <w:b/>
        </w:rPr>
        <w:t>.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SEQ Wykres \* ARABIC \s 1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1</w:t>
      </w:r>
      <w:r w:rsidR="00F27BCD" w:rsidRPr="00050164">
        <w:rPr>
          <w:b/>
        </w:rPr>
        <w:fldChar w:fldCharType="end"/>
      </w:r>
      <w:r w:rsidRPr="00050164">
        <w:rPr>
          <w:noProof/>
        </w:rPr>
        <w:t>.</w:t>
      </w:r>
      <w:r w:rsidR="00D62FC1" w:rsidRPr="00050164">
        <w:rPr>
          <w:noProof/>
        </w:rPr>
        <w:t xml:space="preserve"> </w:t>
      </w:r>
      <w:r w:rsidR="001B72F1" w:rsidRPr="00050164">
        <w:rPr>
          <w:noProof/>
        </w:rPr>
        <w:t>Ilość cargo „on board” (tys. ton) – narastająco – wykres przedstawia ilość cargo przewiezionego na pokładach samolotów w pierwszej połowie</w:t>
      </w:r>
      <w:r w:rsidR="003E70F6" w:rsidRPr="00050164">
        <w:rPr>
          <w:noProof/>
        </w:rPr>
        <w:t xml:space="preserve"> </w:t>
      </w:r>
      <w:r w:rsidR="001B72F1" w:rsidRPr="00050164">
        <w:rPr>
          <w:noProof/>
        </w:rPr>
        <w:t xml:space="preserve">w pierwszej połowie 2025 roku wraz z uwzględnieniem lat 2024 </w:t>
      </w:r>
      <w:r w:rsidR="001B72F1" w:rsidRPr="00050164">
        <w:rPr>
          <w:iCs w:val="0"/>
          <w:szCs w:val="22"/>
        </w:rPr>
        <w:t>i</w:t>
      </w:r>
      <w:r w:rsidR="001B72F1" w:rsidRPr="00050164">
        <w:rPr>
          <w:noProof/>
        </w:rPr>
        <w:t xml:space="preserve"> 2023</w:t>
      </w:r>
      <w:bookmarkEnd w:id="18"/>
    </w:p>
    <w:tbl>
      <w:tblPr>
        <w:tblW w:w="2259" w:type="dxa"/>
        <w:tblInd w:w="3398" w:type="dxa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99"/>
      </w:tblGrid>
      <w:tr w:rsidR="001B72F1" w:rsidRPr="001B72F1" w14:paraId="6AC70800" w14:textId="77777777" w:rsidTr="00784941">
        <w:trPr>
          <w:divId w:val="1308588500"/>
          <w:trHeight w:val="315"/>
        </w:trPr>
        <w:tc>
          <w:tcPr>
            <w:tcW w:w="960" w:type="dxa"/>
            <w:shd w:val="clear" w:color="000000" w:fill="283772"/>
            <w:noWrap/>
            <w:vAlign w:val="center"/>
            <w:hideMark/>
          </w:tcPr>
          <w:p w14:paraId="3E22E056" w14:textId="77777777" w:rsidR="001B72F1" w:rsidRPr="001B72F1" w:rsidRDefault="001B72F1" w:rsidP="001B7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  <w:t>Rok</w:t>
            </w:r>
          </w:p>
        </w:tc>
        <w:tc>
          <w:tcPr>
            <w:tcW w:w="1299" w:type="dxa"/>
            <w:shd w:val="clear" w:color="000000" w:fill="283772"/>
            <w:noWrap/>
            <w:vAlign w:val="center"/>
            <w:hideMark/>
          </w:tcPr>
          <w:p w14:paraId="5B050614" w14:textId="77777777" w:rsidR="001B72F1" w:rsidRPr="001B72F1" w:rsidRDefault="001B72F1" w:rsidP="001B7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  <w:t>Narastająco</w:t>
            </w:r>
          </w:p>
        </w:tc>
      </w:tr>
      <w:tr w:rsidR="0089707D" w:rsidRPr="001B72F1" w14:paraId="3077F961" w14:textId="77777777" w:rsidTr="00784941">
        <w:trPr>
          <w:divId w:val="1308588500"/>
          <w:trHeight w:val="315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08AE6ED" w14:textId="77777777" w:rsidR="0089707D" w:rsidRPr="001B72F1" w:rsidRDefault="0089707D" w:rsidP="00897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2025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14:paraId="1BCA06EA" w14:textId="01970899" w:rsidR="0089707D" w:rsidRPr="001B72F1" w:rsidRDefault="0089707D" w:rsidP="00897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89707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102 319</w:t>
            </w:r>
          </w:p>
        </w:tc>
      </w:tr>
      <w:tr w:rsidR="0089707D" w:rsidRPr="001B72F1" w14:paraId="5996AAAD" w14:textId="77777777" w:rsidTr="00784941">
        <w:trPr>
          <w:divId w:val="1308588500"/>
          <w:trHeight w:val="315"/>
        </w:trPr>
        <w:tc>
          <w:tcPr>
            <w:tcW w:w="960" w:type="dxa"/>
            <w:shd w:val="clear" w:color="000000" w:fill="E0E4F4"/>
            <w:noWrap/>
            <w:vAlign w:val="center"/>
            <w:hideMark/>
          </w:tcPr>
          <w:p w14:paraId="05A6C4D3" w14:textId="77777777" w:rsidR="0089707D" w:rsidRPr="001B72F1" w:rsidRDefault="0089707D" w:rsidP="00897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2024</w:t>
            </w:r>
          </w:p>
        </w:tc>
        <w:tc>
          <w:tcPr>
            <w:tcW w:w="1299" w:type="dxa"/>
            <w:shd w:val="clear" w:color="000000" w:fill="E0E4F4"/>
            <w:noWrap/>
            <w:vAlign w:val="center"/>
            <w:hideMark/>
          </w:tcPr>
          <w:p w14:paraId="69D98A2C" w14:textId="7B3E20C8" w:rsidR="0089707D" w:rsidRPr="001B72F1" w:rsidRDefault="0089707D" w:rsidP="00897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89707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95 472</w:t>
            </w:r>
          </w:p>
        </w:tc>
      </w:tr>
      <w:tr w:rsidR="0089707D" w:rsidRPr="001B72F1" w14:paraId="626F8490" w14:textId="77777777" w:rsidTr="00784941">
        <w:trPr>
          <w:divId w:val="1308588500"/>
          <w:trHeight w:val="315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41E8FE2" w14:textId="77777777" w:rsidR="0089707D" w:rsidRPr="001B72F1" w:rsidRDefault="0089707D" w:rsidP="00897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1B72F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2023</w:t>
            </w:r>
          </w:p>
        </w:tc>
        <w:tc>
          <w:tcPr>
            <w:tcW w:w="1299" w:type="dxa"/>
            <w:shd w:val="clear" w:color="000000" w:fill="FFFFFF"/>
            <w:noWrap/>
            <w:vAlign w:val="center"/>
            <w:hideMark/>
          </w:tcPr>
          <w:p w14:paraId="23828D32" w14:textId="597E8E89" w:rsidR="0089707D" w:rsidRPr="001B72F1" w:rsidRDefault="0089707D" w:rsidP="00897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89707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98 057</w:t>
            </w:r>
          </w:p>
        </w:tc>
      </w:tr>
    </w:tbl>
    <w:p w14:paraId="309179CF" w14:textId="1D298892" w:rsidR="007F42F2" w:rsidRPr="00AB11C3" w:rsidRDefault="007F42F2" w:rsidP="00451B0B">
      <w:pPr>
        <w:pStyle w:val="Legenda"/>
        <w:spacing w:after="100" w:afterAutospacing="1"/>
        <w:ind w:left="1416" w:firstLine="708"/>
        <w:contextualSpacing/>
        <w:jc w:val="left"/>
        <w:rPr>
          <w:noProof/>
        </w:rPr>
      </w:pPr>
      <w:bookmarkStart w:id="19" w:name="_Toc216787127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Ilość cargo „on board” (</w:t>
      </w:r>
      <w:r w:rsidR="00A32D8B">
        <w:rPr>
          <w:noProof/>
        </w:rPr>
        <w:t>ton</w:t>
      </w:r>
      <w:r w:rsidRPr="00E401F0">
        <w:rPr>
          <w:noProof/>
        </w:rPr>
        <w:t>) – narastająco</w:t>
      </w:r>
      <w:bookmarkEnd w:id="19"/>
    </w:p>
    <w:p w14:paraId="57FAD709" w14:textId="77777777" w:rsidR="00EF21A5" w:rsidRPr="00E401F0" w:rsidRDefault="00EF21A5" w:rsidP="005A6434">
      <w:pPr>
        <w:pStyle w:val="Nagwek1"/>
      </w:pPr>
      <w:bookmarkStart w:id="20" w:name="_Toc178665043"/>
      <w:r w:rsidRPr="00E401F0">
        <w:t>Przewozy cargo - kwartał</w:t>
      </w:r>
      <w:bookmarkEnd w:id="20"/>
    </w:p>
    <w:p w14:paraId="4D185022" w14:textId="0500DF71" w:rsidR="00527143" w:rsidRPr="00183B5E" w:rsidRDefault="00527143" w:rsidP="00EF21A5">
      <w:pPr>
        <w:rPr>
          <w:rFonts w:cstheme="minorHAnsi"/>
          <w:szCs w:val="24"/>
        </w:rPr>
      </w:pPr>
      <w:r w:rsidRPr="00183B5E">
        <w:rPr>
          <w:rFonts w:cstheme="minorHAnsi"/>
          <w:szCs w:val="24"/>
        </w:rPr>
        <w:t xml:space="preserve">W samym </w:t>
      </w:r>
      <w:r w:rsidR="00AE5EBE" w:rsidRPr="00183B5E">
        <w:rPr>
          <w:rFonts w:cstheme="minorHAnsi"/>
          <w:szCs w:val="24"/>
        </w:rPr>
        <w:t>drugim</w:t>
      </w:r>
      <w:r w:rsidR="003C372C" w:rsidRPr="00183B5E">
        <w:rPr>
          <w:rFonts w:cstheme="minorHAnsi"/>
          <w:szCs w:val="24"/>
        </w:rPr>
        <w:t xml:space="preserve"> </w:t>
      </w:r>
      <w:r w:rsidR="00727FF9" w:rsidRPr="00183B5E">
        <w:rPr>
          <w:rFonts w:cstheme="minorHAnsi"/>
          <w:szCs w:val="24"/>
        </w:rPr>
        <w:t>kwartale</w:t>
      </w:r>
      <w:r w:rsidR="00765CDA" w:rsidRPr="00183B5E">
        <w:rPr>
          <w:rFonts w:cstheme="minorHAnsi"/>
          <w:szCs w:val="24"/>
        </w:rPr>
        <w:t xml:space="preserve"> 2025</w:t>
      </w:r>
      <w:r w:rsidRPr="00183B5E">
        <w:rPr>
          <w:rFonts w:cstheme="minorHAnsi"/>
          <w:szCs w:val="24"/>
        </w:rPr>
        <w:t xml:space="preserve"> roku przewieziono </w:t>
      </w:r>
      <w:r w:rsidR="000C36E5" w:rsidRPr="00183B5E">
        <w:rPr>
          <w:rFonts w:cstheme="minorHAnsi"/>
          <w:szCs w:val="24"/>
        </w:rPr>
        <w:t>50,9</w:t>
      </w:r>
      <w:r w:rsidR="00EA13B7" w:rsidRPr="00183B5E">
        <w:rPr>
          <w:rFonts w:cstheme="minorHAnsi"/>
          <w:szCs w:val="24"/>
        </w:rPr>
        <w:t xml:space="preserve"> tys. ton cargo „on board”, </w:t>
      </w:r>
      <w:r w:rsidR="000C36E5" w:rsidRPr="00183B5E">
        <w:rPr>
          <w:rFonts w:cstheme="minorHAnsi"/>
          <w:szCs w:val="24"/>
        </w:rPr>
        <w:t xml:space="preserve">czyli o </w:t>
      </w:r>
      <w:r w:rsidR="00183B5E">
        <w:rPr>
          <w:rFonts w:cstheme="minorHAnsi"/>
          <w:szCs w:val="24"/>
        </w:rPr>
        <w:t>5,9</w:t>
      </w:r>
      <w:r w:rsidRPr="00183B5E">
        <w:rPr>
          <w:rFonts w:cstheme="minorHAnsi"/>
          <w:szCs w:val="24"/>
        </w:rPr>
        <w:t xml:space="preserve">% </w:t>
      </w:r>
      <w:r w:rsidR="001A78E0" w:rsidRPr="00183B5E">
        <w:rPr>
          <w:rFonts w:cstheme="minorHAnsi"/>
          <w:szCs w:val="24"/>
        </w:rPr>
        <w:t xml:space="preserve">więcej </w:t>
      </w:r>
      <w:r w:rsidRPr="00183B5E">
        <w:rPr>
          <w:rFonts w:cstheme="minorHAnsi"/>
          <w:szCs w:val="24"/>
        </w:rPr>
        <w:t xml:space="preserve">niż w </w:t>
      </w:r>
      <w:r w:rsidR="00AE5EBE" w:rsidRPr="00183B5E">
        <w:rPr>
          <w:rFonts w:cstheme="minorHAnsi"/>
          <w:szCs w:val="24"/>
        </w:rPr>
        <w:t>drugim</w:t>
      </w:r>
      <w:r w:rsidR="00727FF9" w:rsidRPr="00183B5E">
        <w:rPr>
          <w:rFonts w:cstheme="minorHAnsi"/>
          <w:szCs w:val="24"/>
        </w:rPr>
        <w:t xml:space="preserve"> kwartale</w:t>
      </w:r>
      <w:r w:rsidR="003C372C" w:rsidRPr="00183B5E">
        <w:rPr>
          <w:rFonts w:cstheme="minorHAnsi"/>
          <w:szCs w:val="24"/>
        </w:rPr>
        <w:t xml:space="preserve"> 202</w:t>
      </w:r>
      <w:r w:rsidR="001A78E0" w:rsidRPr="00183B5E">
        <w:rPr>
          <w:rFonts w:cstheme="minorHAnsi"/>
          <w:szCs w:val="24"/>
        </w:rPr>
        <w:t>4</w:t>
      </w:r>
      <w:r w:rsidR="000C36E5" w:rsidRPr="00183B5E">
        <w:rPr>
          <w:rFonts w:cstheme="minorHAnsi"/>
          <w:szCs w:val="24"/>
        </w:rPr>
        <w:t xml:space="preserve"> roku i </w:t>
      </w:r>
      <w:r w:rsidR="001A78E0" w:rsidRPr="00183B5E">
        <w:rPr>
          <w:rFonts w:cstheme="minorHAnsi"/>
          <w:szCs w:val="24"/>
        </w:rPr>
        <w:t xml:space="preserve">o </w:t>
      </w:r>
      <w:r w:rsidR="00183B5E">
        <w:rPr>
          <w:rFonts w:cstheme="minorHAnsi"/>
          <w:szCs w:val="24"/>
        </w:rPr>
        <w:t>3,4</w:t>
      </w:r>
      <w:r w:rsidR="001A78E0" w:rsidRPr="00183B5E">
        <w:rPr>
          <w:rFonts w:cstheme="minorHAnsi"/>
          <w:szCs w:val="24"/>
        </w:rPr>
        <w:t xml:space="preserve">% </w:t>
      </w:r>
      <w:r w:rsidR="000567B3" w:rsidRPr="00183B5E">
        <w:rPr>
          <w:rFonts w:cstheme="minorHAnsi"/>
          <w:szCs w:val="24"/>
        </w:rPr>
        <w:t>mniej</w:t>
      </w:r>
      <w:r w:rsidR="000C36E5" w:rsidRPr="00183B5E">
        <w:rPr>
          <w:rFonts w:cstheme="minorHAnsi"/>
          <w:szCs w:val="24"/>
        </w:rPr>
        <w:t xml:space="preserve"> </w:t>
      </w:r>
      <w:r w:rsidR="001A78E0" w:rsidRPr="00183B5E">
        <w:rPr>
          <w:rFonts w:cstheme="minorHAnsi"/>
          <w:szCs w:val="24"/>
        </w:rPr>
        <w:t xml:space="preserve">niż </w:t>
      </w:r>
      <w:r w:rsidR="0076152B" w:rsidRPr="00183B5E">
        <w:rPr>
          <w:rFonts w:cstheme="minorHAnsi"/>
          <w:szCs w:val="24"/>
        </w:rPr>
        <w:t>w </w:t>
      </w:r>
      <w:r w:rsidR="001A78E0" w:rsidRPr="00183B5E">
        <w:rPr>
          <w:rFonts w:cstheme="minorHAnsi"/>
          <w:szCs w:val="24"/>
        </w:rPr>
        <w:t>analogicznym okresie 2023</w:t>
      </w:r>
      <w:r w:rsidRPr="00183B5E">
        <w:rPr>
          <w:rFonts w:cstheme="minorHAnsi"/>
          <w:szCs w:val="24"/>
        </w:rPr>
        <w:t xml:space="preserve"> roku. Najpopularniejszymi kierunkami </w:t>
      </w:r>
      <w:r w:rsidR="000C36E5" w:rsidRPr="00183B5E">
        <w:rPr>
          <w:rFonts w:cstheme="minorHAnsi"/>
          <w:szCs w:val="24"/>
        </w:rPr>
        <w:t xml:space="preserve">w transporcie towarów </w:t>
      </w:r>
      <w:r w:rsidRPr="00183B5E">
        <w:rPr>
          <w:rFonts w:cstheme="minorHAnsi"/>
          <w:szCs w:val="24"/>
        </w:rPr>
        <w:t xml:space="preserve">były </w:t>
      </w:r>
      <w:r w:rsidR="003C372C" w:rsidRPr="00183B5E">
        <w:rPr>
          <w:rFonts w:cstheme="minorHAnsi"/>
          <w:szCs w:val="24"/>
        </w:rPr>
        <w:t>Niemcy, USA</w:t>
      </w:r>
      <w:r w:rsidRPr="00183B5E">
        <w:rPr>
          <w:rFonts w:cstheme="minorHAnsi"/>
          <w:szCs w:val="24"/>
        </w:rPr>
        <w:t xml:space="preserve"> </w:t>
      </w:r>
      <w:r w:rsidR="0076152B" w:rsidRPr="00183B5E">
        <w:rPr>
          <w:rFonts w:cstheme="minorHAnsi"/>
          <w:szCs w:val="24"/>
        </w:rPr>
        <w:t>i </w:t>
      </w:r>
      <w:r w:rsidR="00196088" w:rsidRPr="00183B5E">
        <w:rPr>
          <w:rFonts w:cstheme="minorHAnsi"/>
          <w:szCs w:val="24"/>
        </w:rPr>
        <w:t>Zjednoczone Emiraty Arabskie</w:t>
      </w:r>
      <w:r w:rsidRPr="00183B5E">
        <w:rPr>
          <w:rFonts w:cstheme="minorHAnsi"/>
          <w:szCs w:val="24"/>
        </w:rPr>
        <w:t xml:space="preserve">. Największe wzrosty ilościowe </w:t>
      </w:r>
      <w:r w:rsidR="003C372C" w:rsidRPr="00183B5E">
        <w:rPr>
          <w:rFonts w:cstheme="minorHAnsi"/>
          <w:szCs w:val="24"/>
        </w:rPr>
        <w:t>względem</w:t>
      </w:r>
      <w:r w:rsidRPr="00183B5E">
        <w:rPr>
          <w:rFonts w:cstheme="minorHAnsi"/>
          <w:szCs w:val="24"/>
        </w:rPr>
        <w:t xml:space="preserve"> </w:t>
      </w:r>
      <w:r w:rsidR="00AE5EBE" w:rsidRPr="00183B5E">
        <w:rPr>
          <w:rFonts w:cstheme="minorHAnsi"/>
          <w:szCs w:val="24"/>
        </w:rPr>
        <w:t>drugiego</w:t>
      </w:r>
      <w:r w:rsidR="003C372C" w:rsidRPr="00183B5E">
        <w:rPr>
          <w:rFonts w:cstheme="minorHAnsi"/>
          <w:szCs w:val="24"/>
        </w:rPr>
        <w:t xml:space="preserve"> kwartału </w:t>
      </w:r>
      <w:r w:rsidR="00F40C22" w:rsidRPr="00183B5E">
        <w:rPr>
          <w:rFonts w:cstheme="minorHAnsi"/>
          <w:szCs w:val="24"/>
        </w:rPr>
        <w:t>2024</w:t>
      </w:r>
      <w:r w:rsidR="0076152B" w:rsidRPr="00183B5E">
        <w:rPr>
          <w:rFonts w:cstheme="minorHAnsi"/>
          <w:szCs w:val="24"/>
        </w:rPr>
        <w:t xml:space="preserve"> roku odnotowano w </w:t>
      </w:r>
      <w:r w:rsidRPr="00183B5E">
        <w:rPr>
          <w:rFonts w:cstheme="minorHAnsi"/>
          <w:szCs w:val="24"/>
        </w:rPr>
        <w:t xml:space="preserve">przypadku </w:t>
      </w:r>
      <w:r w:rsidR="005E7D83" w:rsidRPr="00183B5E">
        <w:rPr>
          <w:rFonts w:cstheme="minorHAnsi"/>
          <w:szCs w:val="24"/>
        </w:rPr>
        <w:t xml:space="preserve">Niemiec </w:t>
      </w:r>
      <w:r w:rsidR="003C372C" w:rsidRPr="00183B5E">
        <w:rPr>
          <w:rFonts w:cstheme="minorHAnsi"/>
          <w:szCs w:val="24"/>
        </w:rPr>
        <w:t>(+</w:t>
      </w:r>
      <w:r w:rsidR="003E2765" w:rsidRPr="00183B5E">
        <w:rPr>
          <w:rFonts w:cstheme="minorHAnsi"/>
          <w:szCs w:val="24"/>
        </w:rPr>
        <w:t>1</w:t>
      </w:r>
      <w:r w:rsidR="00196088" w:rsidRPr="00183B5E">
        <w:rPr>
          <w:rFonts w:cstheme="minorHAnsi"/>
          <w:szCs w:val="24"/>
        </w:rPr>
        <w:t>,8</w:t>
      </w:r>
      <w:r w:rsidR="003C372C" w:rsidRPr="00183B5E">
        <w:rPr>
          <w:rFonts w:cstheme="minorHAnsi"/>
          <w:szCs w:val="24"/>
        </w:rPr>
        <w:t xml:space="preserve"> tys. ton)</w:t>
      </w:r>
      <w:r w:rsidR="00183B5E">
        <w:rPr>
          <w:rFonts w:cstheme="minorHAnsi"/>
          <w:szCs w:val="24"/>
        </w:rPr>
        <w:t>, a następnie Chin (+1,4 tys. ton) i Zjednoczonych</w:t>
      </w:r>
      <w:r w:rsidR="00183B5E" w:rsidRPr="00183B5E">
        <w:rPr>
          <w:rFonts w:cstheme="minorHAnsi"/>
          <w:szCs w:val="24"/>
        </w:rPr>
        <w:t xml:space="preserve"> Emirat</w:t>
      </w:r>
      <w:r w:rsidR="00183B5E">
        <w:rPr>
          <w:rFonts w:cstheme="minorHAnsi"/>
          <w:szCs w:val="24"/>
        </w:rPr>
        <w:t>ów</w:t>
      </w:r>
      <w:r w:rsidR="00183B5E" w:rsidRPr="00183B5E">
        <w:rPr>
          <w:rFonts w:cstheme="minorHAnsi"/>
          <w:szCs w:val="24"/>
        </w:rPr>
        <w:t xml:space="preserve"> Arabski</w:t>
      </w:r>
      <w:r w:rsidR="00183B5E">
        <w:rPr>
          <w:rFonts w:cstheme="minorHAnsi"/>
          <w:szCs w:val="24"/>
        </w:rPr>
        <w:t>ch (+1,1 tys. ton)</w:t>
      </w:r>
      <w:r w:rsidR="005E7D83" w:rsidRPr="00183B5E">
        <w:rPr>
          <w:rFonts w:cstheme="minorHAnsi"/>
          <w:szCs w:val="24"/>
        </w:rPr>
        <w:t>.</w:t>
      </w:r>
      <w:r w:rsidR="00183B5E">
        <w:rPr>
          <w:rFonts w:cstheme="minorHAnsi"/>
          <w:szCs w:val="24"/>
        </w:rPr>
        <w:t xml:space="preserve"> </w:t>
      </w:r>
      <w:r w:rsidRPr="00183B5E">
        <w:rPr>
          <w:rFonts w:cstheme="minorHAnsi"/>
          <w:szCs w:val="24"/>
        </w:rPr>
        <w:t xml:space="preserve">Najwięcej cargo w </w:t>
      </w:r>
      <w:r w:rsidR="00AE5EBE" w:rsidRPr="00183B5E">
        <w:rPr>
          <w:rFonts w:cstheme="minorHAnsi"/>
          <w:szCs w:val="24"/>
        </w:rPr>
        <w:t>drugim</w:t>
      </w:r>
      <w:r w:rsidR="00727FF9" w:rsidRPr="00183B5E">
        <w:rPr>
          <w:rFonts w:cstheme="minorHAnsi"/>
          <w:szCs w:val="24"/>
        </w:rPr>
        <w:t xml:space="preserve"> kwartale</w:t>
      </w:r>
      <w:r w:rsidR="0071300D" w:rsidRPr="00183B5E">
        <w:rPr>
          <w:rFonts w:cstheme="minorHAnsi"/>
          <w:szCs w:val="24"/>
        </w:rPr>
        <w:t xml:space="preserve"> 202</w:t>
      </w:r>
      <w:r w:rsidR="00DA3C9A">
        <w:rPr>
          <w:rFonts w:cstheme="minorHAnsi"/>
          <w:szCs w:val="24"/>
        </w:rPr>
        <w:t>5</w:t>
      </w:r>
      <w:r w:rsidRPr="00183B5E">
        <w:rPr>
          <w:rFonts w:cstheme="minorHAnsi"/>
          <w:szCs w:val="24"/>
        </w:rPr>
        <w:t xml:space="preserve"> roku przewiózł PLL LOT – </w:t>
      </w:r>
      <w:r w:rsidR="00961525" w:rsidRPr="00183B5E">
        <w:rPr>
          <w:rFonts w:cstheme="minorHAnsi"/>
          <w:szCs w:val="24"/>
        </w:rPr>
        <w:t>12,</w:t>
      </w:r>
      <w:r w:rsidR="00183B5E">
        <w:rPr>
          <w:rFonts w:cstheme="minorHAnsi"/>
          <w:szCs w:val="24"/>
        </w:rPr>
        <w:t>9</w:t>
      </w:r>
      <w:r w:rsidR="0076152B" w:rsidRPr="00183B5E">
        <w:rPr>
          <w:rFonts w:cstheme="minorHAnsi"/>
          <w:szCs w:val="24"/>
        </w:rPr>
        <w:t xml:space="preserve"> tys. ton, a </w:t>
      </w:r>
      <w:r w:rsidRPr="00183B5E">
        <w:rPr>
          <w:rFonts w:cstheme="minorHAnsi"/>
          <w:szCs w:val="24"/>
        </w:rPr>
        <w:t>następnie DHL (</w:t>
      </w:r>
      <w:r w:rsidR="0071300D" w:rsidRPr="00183B5E">
        <w:rPr>
          <w:rFonts w:cstheme="minorHAnsi"/>
          <w:szCs w:val="24"/>
        </w:rPr>
        <w:t>9</w:t>
      </w:r>
      <w:r w:rsidR="006D6719" w:rsidRPr="00183B5E">
        <w:rPr>
          <w:rFonts w:cstheme="minorHAnsi"/>
          <w:szCs w:val="24"/>
        </w:rPr>
        <w:t>,2</w:t>
      </w:r>
      <w:r w:rsidR="003C372C" w:rsidRPr="00183B5E">
        <w:rPr>
          <w:rFonts w:cstheme="minorHAnsi"/>
          <w:szCs w:val="24"/>
        </w:rPr>
        <w:t xml:space="preserve"> tys. ton) oraz</w:t>
      </w:r>
      <w:r w:rsidRPr="00183B5E">
        <w:rPr>
          <w:rFonts w:cstheme="minorHAnsi"/>
          <w:szCs w:val="24"/>
        </w:rPr>
        <w:t xml:space="preserve"> </w:t>
      </w:r>
      <w:r w:rsidR="006D6719" w:rsidRPr="00183B5E">
        <w:rPr>
          <w:rFonts w:cstheme="minorHAnsi"/>
          <w:szCs w:val="24"/>
        </w:rPr>
        <w:t>Qatar Airways</w:t>
      </w:r>
      <w:r w:rsidRPr="00183B5E">
        <w:rPr>
          <w:rFonts w:cstheme="minorHAnsi"/>
          <w:szCs w:val="24"/>
        </w:rPr>
        <w:t xml:space="preserve"> (</w:t>
      </w:r>
      <w:r w:rsidR="006D6719" w:rsidRPr="00183B5E">
        <w:rPr>
          <w:rFonts w:cstheme="minorHAnsi"/>
          <w:szCs w:val="24"/>
        </w:rPr>
        <w:t>3,6</w:t>
      </w:r>
      <w:r w:rsidRPr="00183B5E">
        <w:rPr>
          <w:rFonts w:cstheme="minorHAnsi"/>
          <w:szCs w:val="24"/>
        </w:rPr>
        <w:t xml:space="preserve"> tys. ton).</w:t>
      </w:r>
      <w:r w:rsidR="0076152B" w:rsidRPr="00183B5E">
        <w:rPr>
          <w:rFonts w:cstheme="minorHAnsi"/>
          <w:szCs w:val="24"/>
        </w:rPr>
        <w:t xml:space="preserve"> Największe ilościowe wzrosty w </w:t>
      </w:r>
      <w:r w:rsidRPr="00183B5E">
        <w:rPr>
          <w:rFonts w:cstheme="minorHAnsi"/>
          <w:szCs w:val="24"/>
        </w:rPr>
        <w:t xml:space="preserve">stosunku do </w:t>
      </w:r>
      <w:r w:rsidR="00AE5EBE" w:rsidRPr="00183B5E">
        <w:rPr>
          <w:rFonts w:cstheme="minorHAnsi"/>
          <w:szCs w:val="24"/>
        </w:rPr>
        <w:t>drugiego</w:t>
      </w:r>
      <w:r w:rsidR="00727FF9" w:rsidRPr="00183B5E">
        <w:rPr>
          <w:rFonts w:cstheme="minorHAnsi"/>
          <w:szCs w:val="24"/>
        </w:rPr>
        <w:t xml:space="preserve"> kwartału</w:t>
      </w:r>
      <w:r w:rsidRPr="00183B5E">
        <w:rPr>
          <w:rFonts w:cstheme="minorHAnsi"/>
          <w:szCs w:val="24"/>
        </w:rPr>
        <w:t xml:space="preserve"> 202</w:t>
      </w:r>
      <w:r w:rsidR="006D6719" w:rsidRPr="00183B5E">
        <w:rPr>
          <w:rFonts w:cstheme="minorHAnsi"/>
          <w:szCs w:val="24"/>
        </w:rPr>
        <w:t>4</w:t>
      </w:r>
      <w:r w:rsidRPr="00183B5E">
        <w:rPr>
          <w:rFonts w:cstheme="minorHAnsi"/>
          <w:szCs w:val="24"/>
        </w:rPr>
        <w:t xml:space="preserve"> roku wystąpiły w przypadku </w:t>
      </w:r>
      <w:r w:rsidR="006D6719" w:rsidRPr="00183B5E">
        <w:rPr>
          <w:rFonts w:cstheme="minorHAnsi"/>
          <w:szCs w:val="24"/>
        </w:rPr>
        <w:t>Sky</w:t>
      </w:r>
      <w:r w:rsidR="00183B5E">
        <w:rPr>
          <w:rFonts w:cstheme="minorHAnsi"/>
          <w:szCs w:val="24"/>
        </w:rPr>
        <w:t>T</w:t>
      </w:r>
      <w:r w:rsidR="006D6719" w:rsidRPr="00183B5E">
        <w:rPr>
          <w:rFonts w:cstheme="minorHAnsi"/>
          <w:szCs w:val="24"/>
        </w:rPr>
        <w:t>axi</w:t>
      </w:r>
      <w:r w:rsidR="003C372C" w:rsidRPr="00183B5E">
        <w:rPr>
          <w:rFonts w:cstheme="minorHAnsi"/>
          <w:szCs w:val="24"/>
        </w:rPr>
        <w:t xml:space="preserve"> (+</w:t>
      </w:r>
      <w:r w:rsidR="00196088" w:rsidRPr="00183B5E">
        <w:rPr>
          <w:rFonts w:cstheme="minorHAnsi"/>
          <w:szCs w:val="24"/>
        </w:rPr>
        <w:t>2,7</w:t>
      </w:r>
      <w:r w:rsidR="003C372C" w:rsidRPr="00183B5E">
        <w:rPr>
          <w:rFonts w:cstheme="minorHAnsi"/>
          <w:szCs w:val="24"/>
        </w:rPr>
        <w:t xml:space="preserve"> tys. ton), </w:t>
      </w:r>
      <w:r w:rsidR="006D6719" w:rsidRPr="00183B5E">
        <w:rPr>
          <w:rFonts w:cstheme="minorHAnsi"/>
          <w:szCs w:val="24"/>
        </w:rPr>
        <w:t>PLL LOT</w:t>
      </w:r>
      <w:r w:rsidRPr="00183B5E">
        <w:rPr>
          <w:rFonts w:cstheme="minorHAnsi"/>
          <w:szCs w:val="24"/>
        </w:rPr>
        <w:t xml:space="preserve"> (+</w:t>
      </w:r>
      <w:r w:rsidR="00196088" w:rsidRPr="00183B5E">
        <w:rPr>
          <w:rFonts w:cstheme="minorHAnsi"/>
          <w:szCs w:val="24"/>
        </w:rPr>
        <w:t>2,1</w:t>
      </w:r>
      <w:r w:rsidR="00535735" w:rsidRPr="00183B5E">
        <w:rPr>
          <w:rFonts w:cstheme="minorHAnsi"/>
          <w:szCs w:val="24"/>
        </w:rPr>
        <w:t xml:space="preserve"> </w:t>
      </w:r>
      <w:r w:rsidR="003C372C" w:rsidRPr="00183B5E">
        <w:rPr>
          <w:rFonts w:cstheme="minorHAnsi"/>
          <w:szCs w:val="24"/>
        </w:rPr>
        <w:t>tys. ton)</w:t>
      </w:r>
      <w:r w:rsidRPr="00183B5E">
        <w:rPr>
          <w:rFonts w:cstheme="minorHAnsi"/>
          <w:szCs w:val="24"/>
        </w:rPr>
        <w:t xml:space="preserve"> oraz</w:t>
      </w:r>
      <w:r w:rsidR="00F2523B" w:rsidRPr="00183B5E">
        <w:rPr>
          <w:rFonts w:cstheme="minorHAnsi"/>
          <w:szCs w:val="24"/>
        </w:rPr>
        <w:t xml:space="preserve"> </w:t>
      </w:r>
      <w:r w:rsidR="006D6719" w:rsidRPr="00183B5E">
        <w:rPr>
          <w:rFonts w:cstheme="minorHAnsi"/>
          <w:szCs w:val="24"/>
        </w:rPr>
        <w:t>ASL Airlines Belgium</w:t>
      </w:r>
      <w:r w:rsidR="003C372C" w:rsidRPr="00183B5E">
        <w:rPr>
          <w:rFonts w:cstheme="minorHAnsi"/>
          <w:szCs w:val="24"/>
        </w:rPr>
        <w:t xml:space="preserve"> </w:t>
      </w:r>
      <w:r w:rsidR="006D6719" w:rsidRPr="00183B5E">
        <w:rPr>
          <w:rFonts w:cstheme="minorHAnsi"/>
          <w:szCs w:val="24"/>
        </w:rPr>
        <w:t>(+0,9</w:t>
      </w:r>
      <w:r w:rsidR="00F2523B" w:rsidRPr="00183B5E">
        <w:rPr>
          <w:rFonts w:cstheme="minorHAnsi"/>
          <w:szCs w:val="24"/>
        </w:rPr>
        <w:t xml:space="preserve"> tys. ton)</w:t>
      </w:r>
      <w:r w:rsidRPr="00183B5E">
        <w:rPr>
          <w:rFonts w:cstheme="minorHAnsi"/>
          <w:szCs w:val="24"/>
        </w:rPr>
        <w:t xml:space="preserve">. </w:t>
      </w:r>
    </w:p>
    <w:p w14:paraId="38C6F65A" w14:textId="5A24D92C" w:rsidR="00527143" w:rsidRDefault="00527143" w:rsidP="00EF21A5">
      <w:pPr>
        <w:rPr>
          <w:rFonts w:cstheme="minorHAnsi"/>
          <w:szCs w:val="24"/>
        </w:rPr>
      </w:pPr>
      <w:r w:rsidRPr="00183B5E">
        <w:rPr>
          <w:rFonts w:cstheme="minorHAnsi"/>
          <w:szCs w:val="24"/>
        </w:rPr>
        <w:t xml:space="preserve">Najwięcej </w:t>
      </w:r>
      <w:r w:rsidR="00196088" w:rsidRPr="00183B5E">
        <w:rPr>
          <w:rFonts w:cstheme="minorHAnsi"/>
          <w:szCs w:val="24"/>
        </w:rPr>
        <w:t>towarów</w:t>
      </w:r>
      <w:r w:rsidRPr="00183B5E">
        <w:rPr>
          <w:rFonts w:cstheme="minorHAnsi"/>
          <w:szCs w:val="24"/>
        </w:rPr>
        <w:t xml:space="preserve"> w </w:t>
      </w:r>
      <w:r w:rsidR="00AE5EBE" w:rsidRPr="00183B5E">
        <w:rPr>
          <w:rFonts w:cstheme="minorHAnsi"/>
          <w:szCs w:val="24"/>
        </w:rPr>
        <w:t>drugim</w:t>
      </w:r>
      <w:r w:rsidR="00727FF9" w:rsidRPr="00183B5E">
        <w:rPr>
          <w:rFonts w:cstheme="minorHAnsi"/>
          <w:szCs w:val="24"/>
        </w:rPr>
        <w:t xml:space="preserve"> kwartale</w:t>
      </w:r>
      <w:r w:rsidR="00196088" w:rsidRPr="00183B5E">
        <w:rPr>
          <w:rFonts w:cstheme="minorHAnsi"/>
          <w:szCs w:val="24"/>
        </w:rPr>
        <w:t xml:space="preserve"> 2025</w:t>
      </w:r>
      <w:r w:rsidRPr="00183B5E">
        <w:rPr>
          <w:rFonts w:cstheme="minorHAnsi"/>
          <w:szCs w:val="24"/>
        </w:rPr>
        <w:t xml:space="preserve"> roku ponown</w:t>
      </w:r>
      <w:r w:rsidR="00F40C22" w:rsidRPr="00183B5E">
        <w:rPr>
          <w:rFonts w:cstheme="minorHAnsi"/>
          <w:szCs w:val="24"/>
        </w:rPr>
        <w:t>ie obsłużyło L</w:t>
      </w:r>
      <w:r w:rsidR="0076152B" w:rsidRPr="00183B5E">
        <w:rPr>
          <w:rFonts w:cstheme="minorHAnsi"/>
          <w:szCs w:val="24"/>
        </w:rPr>
        <w:t>otnisko Chopina w </w:t>
      </w:r>
      <w:r w:rsidRPr="00183B5E">
        <w:rPr>
          <w:rFonts w:cstheme="minorHAnsi"/>
          <w:szCs w:val="24"/>
        </w:rPr>
        <w:t xml:space="preserve">Warszawie – </w:t>
      </w:r>
      <w:r w:rsidR="001A78E0" w:rsidRPr="00183B5E">
        <w:rPr>
          <w:rFonts w:cstheme="minorHAnsi"/>
          <w:szCs w:val="24"/>
        </w:rPr>
        <w:t>32</w:t>
      </w:r>
      <w:r w:rsidR="0076152B" w:rsidRPr="00183B5E">
        <w:rPr>
          <w:rFonts w:cstheme="minorHAnsi"/>
          <w:szCs w:val="24"/>
        </w:rPr>
        <w:t>,</w:t>
      </w:r>
      <w:r w:rsidR="00183B5E">
        <w:rPr>
          <w:rFonts w:cstheme="minorHAnsi"/>
          <w:szCs w:val="24"/>
        </w:rPr>
        <w:t>4</w:t>
      </w:r>
      <w:r w:rsidRPr="00183B5E">
        <w:rPr>
          <w:rFonts w:cstheme="minorHAnsi"/>
          <w:szCs w:val="24"/>
        </w:rPr>
        <w:t xml:space="preserve"> tys. ton, co stanowi </w:t>
      </w:r>
      <w:r w:rsidR="00196088" w:rsidRPr="00183B5E">
        <w:rPr>
          <w:rFonts w:cstheme="minorHAnsi"/>
          <w:szCs w:val="24"/>
        </w:rPr>
        <w:t>63,7</w:t>
      </w:r>
      <w:r w:rsidRPr="00183B5E">
        <w:rPr>
          <w:rFonts w:cstheme="minorHAnsi"/>
          <w:szCs w:val="24"/>
        </w:rPr>
        <w:t>% całego cargo przewiezionego na pokładach samolotów w polskich portach lotniczych w tym okres</w:t>
      </w:r>
      <w:r w:rsidR="0076152B" w:rsidRPr="00183B5E">
        <w:rPr>
          <w:rFonts w:cstheme="minorHAnsi"/>
          <w:szCs w:val="24"/>
        </w:rPr>
        <w:t>ie. Największe wzrosty ilościowe w </w:t>
      </w:r>
      <w:r w:rsidRPr="00183B5E">
        <w:rPr>
          <w:rFonts w:cstheme="minorHAnsi"/>
          <w:szCs w:val="24"/>
        </w:rPr>
        <w:t xml:space="preserve">stosunku do </w:t>
      </w:r>
      <w:r w:rsidR="00AE5EBE" w:rsidRPr="00183B5E">
        <w:rPr>
          <w:rFonts w:cstheme="minorHAnsi"/>
          <w:szCs w:val="24"/>
        </w:rPr>
        <w:t>drugiego</w:t>
      </w:r>
      <w:r w:rsidR="00727FF9" w:rsidRPr="00183B5E">
        <w:rPr>
          <w:rFonts w:cstheme="minorHAnsi"/>
          <w:szCs w:val="24"/>
        </w:rPr>
        <w:t xml:space="preserve"> kwartału</w:t>
      </w:r>
      <w:r w:rsidRPr="00183B5E">
        <w:rPr>
          <w:rFonts w:cstheme="minorHAnsi"/>
          <w:szCs w:val="24"/>
        </w:rPr>
        <w:t xml:space="preserve"> 202</w:t>
      </w:r>
      <w:r w:rsidR="001A78E0" w:rsidRPr="00183B5E">
        <w:rPr>
          <w:rFonts w:cstheme="minorHAnsi"/>
          <w:szCs w:val="24"/>
        </w:rPr>
        <w:t>4</w:t>
      </w:r>
      <w:r w:rsidRPr="00183B5E">
        <w:rPr>
          <w:rFonts w:cstheme="minorHAnsi"/>
          <w:szCs w:val="24"/>
        </w:rPr>
        <w:t xml:space="preserve"> roku wykazał</w:t>
      </w:r>
      <w:r w:rsidR="00F40C22" w:rsidRPr="00183B5E">
        <w:rPr>
          <w:rFonts w:cstheme="minorHAnsi"/>
          <w:szCs w:val="24"/>
        </w:rPr>
        <w:t>o</w:t>
      </w:r>
      <w:r w:rsidRPr="00183B5E">
        <w:rPr>
          <w:rFonts w:cstheme="minorHAnsi"/>
          <w:szCs w:val="24"/>
        </w:rPr>
        <w:t xml:space="preserve"> </w:t>
      </w:r>
      <w:r w:rsidR="00196088" w:rsidRPr="00183B5E">
        <w:rPr>
          <w:rFonts w:cstheme="minorHAnsi"/>
          <w:szCs w:val="24"/>
        </w:rPr>
        <w:t>po</w:t>
      </w:r>
      <w:r w:rsidR="00332ABC" w:rsidRPr="00183B5E">
        <w:rPr>
          <w:rFonts w:cstheme="minorHAnsi"/>
          <w:szCs w:val="24"/>
        </w:rPr>
        <w:t xml:space="preserve">nownie </w:t>
      </w:r>
      <w:r w:rsidR="0076152B" w:rsidRPr="00183B5E">
        <w:rPr>
          <w:rFonts w:cstheme="minorHAnsi"/>
          <w:szCs w:val="24"/>
        </w:rPr>
        <w:t>Lotnisko Chopina w Warszawie (</w:t>
      </w:r>
      <w:r w:rsidR="001A78E0" w:rsidRPr="00183B5E">
        <w:rPr>
          <w:rFonts w:cstheme="minorHAnsi"/>
          <w:szCs w:val="24"/>
        </w:rPr>
        <w:t>5,1</w:t>
      </w:r>
      <w:r w:rsidR="0076152B" w:rsidRPr="00183B5E">
        <w:rPr>
          <w:rFonts w:cstheme="minorHAnsi"/>
          <w:szCs w:val="24"/>
        </w:rPr>
        <w:t> tys.</w:t>
      </w:r>
      <w:r w:rsidR="00EA13B7" w:rsidRPr="00183B5E">
        <w:rPr>
          <w:rFonts w:cstheme="minorHAnsi"/>
          <w:szCs w:val="24"/>
        </w:rPr>
        <w:t> </w:t>
      </w:r>
      <w:r w:rsidR="0076152B" w:rsidRPr="00183B5E">
        <w:rPr>
          <w:rFonts w:cstheme="minorHAnsi"/>
          <w:szCs w:val="24"/>
        </w:rPr>
        <w:t xml:space="preserve">ton), </w:t>
      </w:r>
      <w:r w:rsidR="00F40C22" w:rsidRPr="00183B5E">
        <w:rPr>
          <w:rFonts w:cstheme="minorHAnsi"/>
          <w:szCs w:val="24"/>
        </w:rPr>
        <w:t xml:space="preserve">a </w:t>
      </w:r>
      <w:r w:rsidR="00332ABC" w:rsidRPr="00183B5E">
        <w:rPr>
          <w:rFonts w:cstheme="minorHAnsi"/>
          <w:szCs w:val="24"/>
        </w:rPr>
        <w:t>następnie</w:t>
      </w:r>
      <w:r w:rsidR="00F40C22" w:rsidRPr="00183B5E">
        <w:rPr>
          <w:rFonts w:cstheme="minorHAnsi"/>
          <w:szCs w:val="24"/>
        </w:rPr>
        <w:t xml:space="preserve"> </w:t>
      </w:r>
      <w:r w:rsidR="0076152B" w:rsidRPr="00183B5E">
        <w:rPr>
          <w:rFonts w:cstheme="minorHAnsi"/>
          <w:szCs w:val="24"/>
        </w:rPr>
        <w:t xml:space="preserve">Port Lotniczy </w:t>
      </w:r>
      <w:r w:rsidR="003E2765" w:rsidRPr="00183B5E">
        <w:rPr>
          <w:rFonts w:cstheme="minorHAnsi"/>
          <w:szCs w:val="24"/>
        </w:rPr>
        <w:t>Katowice w Pyrzowicach</w:t>
      </w:r>
      <w:r w:rsidRPr="00183B5E">
        <w:rPr>
          <w:rFonts w:cstheme="minorHAnsi"/>
          <w:szCs w:val="24"/>
        </w:rPr>
        <w:t xml:space="preserve"> (</w:t>
      </w:r>
      <w:r w:rsidR="001A78E0" w:rsidRPr="00183B5E">
        <w:rPr>
          <w:rFonts w:cstheme="minorHAnsi"/>
          <w:szCs w:val="24"/>
        </w:rPr>
        <w:t>1,</w:t>
      </w:r>
      <w:r w:rsidR="00183B5E">
        <w:rPr>
          <w:rFonts w:cstheme="minorHAnsi"/>
          <w:szCs w:val="24"/>
        </w:rPr>
        <w:t>9</w:t>
      </w:r>
      <w:r w:rsidR="001A78E0" w:rsidRPr="00183B5E">
        <w:rPr>
          <w:rFonts w:cstheme="minorHAnsi"/>
          <w:szCs w:val="24"/>
        </w:rPr>
        <w:t xml:space="preserve"> </w:t>
      </w:r>
      <w:r w:rsidR="003E2765" w:rsidRPr="00183B5E">
        <w:rPr>
          <w:rFonts w:cstheme="minorHAnsi"/>
          <w:szCs w:val="24"/>
        </w:rPr>
        <w:t>tys.</w:t>
      </w:r>
      <w:r w:rsidR="0076152B" w:rsidRPr="00183B5E">
        <w:rPr>
          <w:rFonts w:cstheme="minorHAnsi"/>
          <w:szCs w:val="24"/>
        </w:rPr>
        <w:t xml:space="preserve"> ton)</w:t>
      </w:r>
      <w:r w:rsidR="00332ABC" w:rsidRPr="00183B5E">
        <w:rPr>
          <w:rFonts w:cstheme="minorHAnsi"/>
          <w:szCs w:val="24"/>
        </w:rPr>
        <w:t>.</w:t>
      </w:r>
      <w:r w:rsidRPr="00E401F0">
        <w:rPr>
          <w:rFonts w:cstheme="minorHAnsi"/>
          <w:szCs w:val="24"/>
        </w:rPr>
        <w:t xml:space="preserve"> </w:t>
      </w:r>
    </w:p>
    <w:p w14:paraId="43E5B7E8" w14:textId="42BCFB55" w:rsidR="00AF47F0" w:rsidRDefault="0089707D" w:rsidP="00AF47F0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6702C5A4" wp14:editId="2E03C460">
            <wp:extent cx="3945214" cy="2340000"/>
            <wp:effectExtent l="0" t="0" r="0" b="3175"/>
            <wp:docPr id="13" name="Wykres 13" descr="Wykres przedstawia ilość cargo przewiezionego na pokładach samolotów w danym kwartale z uwzględnieniem analogicznych okresów z poprzednich 2 lat. Dane przedstawione w Tabeli 8.1 poniżej." title="Wykres 8.1 Ilość cargo „on board” (tys. ton) – kwartał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C09E366" w14:textId="57240443" w:rsidR="00AF47F0" w:rsidRPr="00050164" w:rsidRDefault="00AF47F0" w:rsidP="007605B9">
      <w:pPr>
        <w:pStyle w:val="Legenda"/>
        <w:rPr>
          <w:rFonts w:cstheme="minorHAnsi"/>
          <w:szCs w:val="24"/>
        </w:rPr>
      </w:pPr>
      <w:bookmarkStart w:id="21" w:name="_Toc219462785"/>
      <w:r w:rsidRPr="00050164">
        <w:rPr>
          <w:b/>
        </w:rPr>
        <w:t xml:space="preserve">Wykres 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STYLEREF 1 \s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8</w:t>
      </w:r>
      <w:r w:rsidR="00F27BCD" w:rsidRPr="00050164">
        <w:rPr>
          <w:b/>
        </w:rPr>
        <w:fldChar w:fldCharType="end"/>
      </w:r>
      <w:r w:rsidR="00F27BCD" w:rsidRPr="00050164">
        <w:rPr>
          <w:b/>
        </w:rPr>
        <w:t>.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SEQ Wykres \* ARABIC \s 1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1</w:t>
      </w:r>
      <w:r w:rsidR="00F27BCD" w:rsidRPr="00050164">
        <w:rPr>
          <w:b/>
        </w:rPr>
        <w:fldChar w:fldCharType="end"/>
      </w:r>
      <w:r w:rsidRPr="00050164">
        <w:rPr>
          <w:noProof/>
        </w:rPr>
        <w:t>.</w:t>
      </w:r>
      <w:r w:rsidR="007605B9" w:rsidRPr="00050164">
        <w:rPr>
          <w:noProof/>
        </w:rPr>
        <w:t xml:space="preserve"> </w:t>
      </w:r>
      <w:r w:rsidR="001B72F1" w:rsidRPr="00050164">
        <w:rPr>
          <w:noProof/>
        </w:rPr>
        <w:t>Ilość cargo „on board” (tys. ton) – kwartał – wykres przedstawia ilość cargo przewiezionego na pokładach samolotów w pierwszej połowie</w:t>
      </w:r>
      <w:r w:rsidR="003E70F6" w:rsidRPr="00050164">
        <w:rPr>
          <w:noProof/>
        </w:rPr>
        <w:t xml:space="preserve"> </w:t>
      </w:r>
      <w:r w:rsidR="001B72F1" w:rsidRPr="00050164">
        <w:rPr>
          <w:noProof/>
        </w:rPr>
        <w:t xml:space="preserve">w drugim kwartale 2025 roku wraz z uwzględnieniem lat </w:t>
      </w:r>
      <w:r w:rsidR="001B72F1" w:rsidRPr="00050164">
        <w:rPr>
          <w:iCs w:val="0"/>
          <w:szCs w:val="22"/>
        </w:rPr>
        <w:t>2024</w:t>
      </w:r>
      <w:r w:rsidR="001B72F1" w:rsidRPr="00050164">
        <w:rPr>
          <w:noProof/>
        </w:rPr>
        <w:t xml:space="preserve"> i 2023</w:t>
      </w:r>
      <w:bookmarkEnd w:id="21"/>
    </w:p>
    <w:tbl>
      <w:tblPr>
        <w:tblW w:w="240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451B0B" w:rsidRPr="00451B0B" w14:paraId="780D0A55" w14:textId="77777777" w:rsidTr="00784941">
        <w:trPr>
          <w:trHeight w:val="315"/>
          <w:jc w:val="center"/>
        </w:trPr>
        <w:tc>
          <w:tcPr>
            <w:tcW w:w="1200" w:type="dxa"/>
            <w:shd w:val="clear" w:color="000000" w:fill="283772"/>
            <w:noWrap/>
            <w:vAlign w:val="center"/>
            <w:hideMark/>
          </w:tcPr>
          <w:p w14:paraId="5265AD39" w14:textId="77777777" w:rsidR="00451B0B" w:rsidRPr="00451B0B" w:rsidRDefault="00451B0B" w:rsidP="00451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</w:pPr>
            <w:r w:rsidRPr="00451B0B"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  <w:t>Rok</w:t>
            </w:r>
          </w:p>
        </w:tc>
        <w:tc>
          <w:tcPr>
            <w:tcW w:w="1200" w:type="dxa"/>
            <w:shd w:val="clear" w:color="000000" w:fill="283772"/>
            <w:noWrap/>
            <w:vAlign w:val="center"/>
            <w:hideMark/>
          </w:tcPr>
          <w:p w14:paraId="21B35693" w14:textId="77777777" w:rsidR="00451B0B" w:rsidRPr="00451B0B" w:rsidRDefault="00451B0B" w:rsidP="00451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</w:pPr>
            <w:r w:rsidRPr="00451B0B">
              <w:rPr>
                <w:rFonts w:ascii="Calibri" w:eastAsia="Times New Roman" w:hAnsi="Calibri" w:cs="Calibri"/>
                <w:color w:val="FFFFFF"/>
                <w:szCs w:val="24"/>
                <w:lang w:eastAsia="pl-PL"/>
              </w:rPr>
              <w:t>Kwartał</w:t>
            </w:r>
          </w:p>
        </w:tc>
      </w:tr>
      <w:tr w:rsidR="0089707D" w:rsidRPr="00451B0B" w14:paraId="7EC8BF1B" w14:textId="77777777" w:rsidTr="00784941">
        <w:trPr>
          <w:trHeight w:val="315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27526347" w14:textId="77777777" w:rsidR="0089707D" w:rsidRPr="00451B0B" w:rsidRDefault="0089707D" w:rsidP="00897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451B0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2025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1EB77323" w14:textId="7CEE0F0A" w:rsidR="0089707D" w:rsidRPr="00451B0B" w:rsidRDefault="0089707D" w:rsidP="00897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89707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50 871</w:t>
            </w:r>
          </w:p>
        </w:tc>
      </w:tr>
      <w:tr w:rsidR="0089707D" w:rsidRPr="00451B0B" w14:paraId="14B9C186" w14:textId="77777777" w:rsidTr="00784941">
        <w:trPr>
          <w:trHeight w:val="315"/>
          <w:jc w:val="center"/>
        </w:trPr>
        <w:tc>
          <w:tcPr>
            <w:tcW w:w="1200" w:type="dxa"/>
            <w:shd w:val="clear" w:color="000000" w:fill="E0E4F4"/>
            <w:noWrap/>
            <w:vAlign w:val="center"/>
            <w:hideMark/>
          </w:tcPr>
          <w:p w14:paraId="76587441" w14:textId="77777777" w:rsidR="0089707D" w:rsidRPr="00451B0B" w:rsidRDefault="0089707D" w:rsidP="00897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451B0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2024</w:t>
            </w:r>
          </w:p>
        </w:tc>
        <w:tc>
          <w:tcPr>
            <w:tcW w:w="1200" w:type="dxa"/>
            <w:shd w:val="clear" w:color="000000" w:fill="E0E4F4"/>
            <w:noWrap/>
            <w:vAlign w:val="center"/>
            <w:hideMark/>
          </w:tcPr>
          <w:p w14:paraId="3A70CEC9" w14:textId="1EE05226" w:rsidR="0089707D" w:rsidRPr="00451B0B" w:rsidRDefault="0089707D" w:rsidP="00897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89707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48 028</w:t>
            </w:r>
          </w:p>
        </w:tc>
      </w:tr>
      <w:tr w:rsidR="0089707D" w:rsidRPr="00451B0B" w14:paraId="6BAE61CD" w14:textId="77777777" w:rsidTr="00784941">
        <w:trPr>
          <w:trHeight w:val="315"/>
          <w:jc w:val="center"/>
        </w:trPr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541F69D" w14:textId="77777777" w:rsidR="0089707D" w:rsidRPr="00451B0B" w:rsidRDefault="0089707D" w:rsidP="00897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451B0B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2023</w:t>
            </w:r>
          </w:p>
        </w:tc>
        <w:tc>
          <w:tcPr>
            <w:tcW w:w="1200" w:type="dxa"/>
            <w:shd w:val="clear" w:color="000000" w:fill="FFFFFF"/>
            <w:noWrap/>
            <w:vAlign w:val="center"/>
            <w:hideMark/>
          </w:tcPr>
          <w:p w14:paraId="3E9EC312" w14:textId="34A54C5F" w:rsidR="0089707D" w:rsidRPr="00451B0B" w:rsidRDefault="0089707D" w:rsidP="00897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89707D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52 688</w:t>
            </w:r>
          </w:p>
        </w:tc>
      </w:tr>
    </w:tbl>
    <w:p w14:paraId="1FB78168" w14:textId="0EC1C169" w:rsidR="006A4C6D" w:rsidRPr="006A4C6D" w:rsidRDefault="00F2523B" w:rsidP="00E64CE3">
      <w:pPr>
        <w:pStyle w:val="Legenda"/>
        <w:ind w:left="1416" w:firstLine="708"/>
        <w:jc w:val="left"/>
      </w:pPr>
      <w:bookmarkStart w:id="22" w:name="_Toc216787128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8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Ilość cargo „on board” (ton) – kwartał</w:t>
      </w:r>
      <w:bookmarkEnd w:id="22"/>
    </w:p>
    <w:p w14:paraId="5DEC401B" w14:textId="77777777" w:rsidR="00527143" w:rsidRPr="00E401F0" w:rsidRDefault="00EF21A5" w:rsidP="005A6434">
      <w:pPr>
        <w:pStyle w:val="Nagwek1"/>
      </w:pPr>
      <w:bookmarkStart w:id="23" w:name="_Toc178665044"/>
      <w:r w:rsidRPr="00E401F0">
        <w:t>Sezonowe zmiany przewozów</w:t>
      </w:r>
      <w:bookmarkEnd w:id="23"/>
    </w:p>
    <w:p w14:paraId="5EA004F9" w14:textId="1E9F42DC" w:rsidR="00CB3DFA" w:rsidRDefault="00CB3DFA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W pierwszej połowie</w:t>
      </w:r>
      <w:r w:rsidRPr="00E401F0">
        <w:rPr>
          <w:rFonts w:cstheme="minorHAnsi"/>
          <w:szCs w:val="24"/>
        </w:rPr>
        <w:t xml:space="preserve"> 202</w:t>
      </w:r>
      <w:r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</w:t>
      </w:r>
      <w:r>
        <w:rPr>
          <w:rFonts w:cstheme="minorHAnsi"/>
          <w:szCs w:val="24"/>
        </w:rPr>
        <w:t>doszło do wzrostu liczby obsłużonych pasażerów o 11,8</w:t>
      </w:r>
      <w:r w:rsidRPr="00E401F0">
        <w:rPr>
          <w:rFonts w:cstheme="minorHAnsi"/>
          <w:szCs w:val="24"/>
        </w:rPr>
        <w:t>%</w:t>
      </w:r>
      <w:r w:rsidR="003E70F6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w porównaniu do </w:t>
      </w:r>
      <w:r>
        <w:rPr>
          <w:rFonts w:cstheme="minorHAnsi"/>
          <w:szCs w:val="24"/>
        </w:rPr>
        <w:t xml:space="preserve">tego samego okresu </w:t>
      </w:r>
      <w:r w:rsidRPr="00E401F0">
        <w:rPr>
          <w:rFonts w:cstheme="minorHAnsi"/>
          <w:szCs w:val="24"/>
        </w:rPr>
        <w:t>202</w:t>
      </w:r>
      <w:r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</w:t>
      </w:r>
      <w:r w:rsidR="004009DC">
        <w:rPr>
          <w:rFonts w:cstheme="minorHAnsi"/>
          <w:szCs w:val="24"/>
        </w:rPr>
        <w:t xml:space="preserve"> (w drugim kwartale tempo wzrostu było niewiele wyższe)</w:t>
      </w:r>
      <w:r>
        <w:rPr>
          <w:rFonts w:cstheme="minorHAnsi"/>
          <w:szCs w:val="24"/>
        </w:rPr>
        <w:t xml:space="preserve"> i o 28% w porównaniu do pierwszej połowy 2023 roku</w:t>
      </w:r>
      <w:r w:rsidR="00926A85">
        <w:rPr>
          <w:rFonts w:cstheme="minorHAnsi"/>
          <w:szCs w:val="24"/>
        </w:rPr>
        <w:t xml:space="preserve"> (o 26,</w:t>
      </w:r>
      <w:r w:rsidR="00816F92">
        <w:rPr>
          <w:rFonts w:cstheme="minorHAnsi"/>
          <w:szCs w:val="24"/>
        </w:rPr>
        <w:t>3</w:t>
      </w:r>
      <w:r w:rsidR="00926A85">
        <w:rPr>
          <w:rFonts w:cstheme="minorHAnsi"/>
          <w:szCs w:val="24"/>
        </w:rPr>
        <w:t xml:space="preserve">% w porównaniu do drugiego kwartału). </w:t>
      </w:r>
    </w:p>
    <w:p w14:paraId="3BEBA0D8" w14:textId="2290DEFD" w:rsidR="00AF47F0" w:rsidRDefault="00E64CE3" w:rsidP="00AF47F0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179ACB75" wp14:editId="49DF7572">
            <wp:extent cx="3070800" cy="1414800"/>
            <wp:effectExtent l="0" t="0" r="0" b="0"/>
            <wp:docPr id="8" name="Wykres 8" descr="Wykres przedstawia zmiany zachodzące w danym kwartale oraz w minionych kwartałach w porównaniu z rokiem poprzednim. Dane przedstawione w Tabeli 9.1 poniżej." title="Wykres 9.1 Dynamika ruchu względem roku poprzedniego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1C002D5" w14:textId="6D0FED3A" w:rsidR="00A848AE" w:rsidRDefault="00AF47F0" w:rsidP="00D73519">
      <w:pPr>
        <w:pStyle w:val="Legenda"/>
        <w:spacing w:after="1440"/>
        <w:rPr>
          <w:noProof/>
        </w:rPr>
      </w:pPr>
      <w:bookmarkStart w:id="24" w:name="_Toc219462786"/>
      <w:r w:rsidRPr="00AF47F0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9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E401F0">
        <w:rPr>
          <w:noProof/>
        </w:rPr>
        <w:t>.</w:t>
      </w:r>
      <w:r w:rsidR="007416C6">
        <w:rPr>
          <w:noProof/>
        </w:rPr>
        <w:t xml:space="preserve"> </w:t>
      </w:r>
      <w:r w:rsidR="001B72F1" w:rsidRPr="001B72F1">
        <w:rPr>
          <w:rFonts w:ascii="Calibri" w:eastAsia="Times New Roman" w:hAnsi="Calibri" w:cs="Calibri"/>
          <w:color w:val="000000"/>
          <w:lang w:eastAsia="pl-PL"/>
        </w:rPr>
        <w:t>Dynamika ruchu 2025 vs. 2024 – wykres przedstawia zmiany zachodzące w drugim kwartale</w:t>
      </w:r>
      <w:r w:rsidR="003E70F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1B72F1" w:rsidRPr="001B72F1">
        <w:rPr>
          <w:rFonts w:ascii="Calibri" w:eastAsia="Times New Roman" w:hAnsi="Calibri" w:cs="Calibri"/>
          <w:color w:val="000000"/>
          <w:lang w:eastAsia="pl-PL"/>
        </w:rPr>
        <w:t>2025 roku oraz łącznie w pierwszej połowie 2025 roku w porównaniu z analogicznymi okresami roku 2024</w:t>
      </w:r>
      <w:bookmarkEnd w:id="24"/>
    </w:p>
    <w:tbl>
      <w:tblPr>
        <w:tblW w:w="2972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392"/>
      </w:tblGrid>
      <w:tr w:rsidR="00A848AE" w:rsidRPr="006E19B1" w14:paraId="5FFA342E" w14:textId="77777777" w:rsidTr="00234D3E">
        <w:trPr>
          <w:trHeight w:val="317"/>
          <w:jc w:val="center"/>
        </w:trPr>
        <w:tc>
          <w:tcPr>
            <w:tcW w:w="1580" w:type="dxa"/>
            <w:shd w:val="clear" w:color="000000" w:fill="283772"/>
            <w:vAlign w:val="center"/>
            <w:hideMark/>
          </w:tcPr>
          <w:p w14:paraId="0E3959FB" w14:textId="77777777" w:rsidR="00A848AE" w:rsidRPr="006E19B1" w:rsidRDefault="00A848AE" w:rsidP="00234D3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6E19B1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lastRenderedPageBreak/>
              <w:t>2025 vs. 2024</w:t>
            </w:r>
          </w:p>
        </w:tc>
        <w:tc>
          <w:tcPr>
            <w:tcW w:w="1392" w:type="dxa"/>
            <w:shd w:val="clear" w:color="000000" w:fill="283772"/>
            <w:vAlign w:val="center"/>
            <w:hideMark/>
          </w:tcPr>
          <w:p w14:paraId="493DB94A" w14:textId="77777777" w:rsidR="00A848AE" w:rsidRPr="006E19B1" w:rsidRDefault="00A848AE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6E19B1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Dynamika</w:t>
            </w:r>
          </w:p>
        </w:tc>
      </w:tr>
      <w:tr w:rsidR="00A848AE" w:rsidRPr="006E19B1" w14:paraId="638BF758" w14:textId="77777777" w:rsidTr="00234D3E">
        <w:trPr>
          <w:trHeight w:val="317"/>
          <w:jc w:val="center"/>
        </w:trPr>
        <w:tc>
          <w:tcPr>
            <w:tcW w:w="1580" w:type="dxa"/>
            <w:shd w:val="clear" w:color="000000" w:fill="283772"/>
            <w:vAlign w:val="center"/>
            <w:hideMark/>
          </w:tcPr>
          <w:p w14:paraId="1CB0C2EC" w14:textId="77777777" w:rsidR="00A848AE" w:rsidRPr="006E19B1" w:rsidRDefault="00A848AE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6E19B1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Narastająco</w:t>
            </w:r>
          </w:p>
        </w:tc>
        <w:tc>
          <w:tcPr>
            <w:tcW w:w="1392" w:type="dxa"/>
            <w:shd w:val="clear" w:color="000000" w:fill="FFFFFF"/>
            <w:vAlign w:val="center"/>
            <w:hideMark/>
          </w:tcPr>
          <w:p w14:paraId="44329507" w14:textId="77777777" w:rsidR="00A848AE" w:rsidRPr="006E19B1" w:rsidRDefault="00A848AE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6E19B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11,8%</w:t>
            </w:r>
          </w:p>
        </w:tc>
      </w:tr>
      <w:tr w:rsidR="00A848AE" w:rsidRPr="006E19B1" w14:paraId="19A8E520" w14:textId="77777777" w:rsidTr="00234D3E">
        <w:trPr>
          <w:trHeight w:val="317"/>
          <w:jc w:val="center"/>
        </w:trPr>
        <w:tc>
          <w:tcPr>
            <w:tcW w:w="1580" w:type="dxa"/>
            <w:shd w:val="clear" w:color="000000" w:fill="283772"/>
            <w:vAlign w:val="center"/>
            <w:hideMark/>
          </w:tcPr>
          <w:p w14:paraId="0B9CE7F4" w14:textId="77777777" w:rsidR="00A848AE" w:rsidRPr="006E19B1" w:rsidRDefault="00A848AE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6E19B1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II-kwartał</w:t>
            </w:r>
          </w:p>
        </w:tc>
        <w:tc>
          <w:tcPr>
            <w:tcW w:w="1392" w:type="dxa"/>
            <w:shd w:val="clear" w:color="000000" w:fill="E6E9F6"/>
            <w:vAlign w:val="center"/>
            <w:hideMark/>
          </w:tcPr>
          <w:p w14:paraId="1D7B2E38" w14:textId="77777777" w:rsidR="00A848AE" w:rsidRPr="006E19B1" w:rsidRDefault="00A848AE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6E19B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11,9%</w:t>
            </w:r>
          </w:p>
        </w:tc>
      </w:tr>
    </w:tbl>
    <w:p w14:paraId="40C00052" w14:textId="77777777" w:rsidR="002D4F08" w:rsidRDefault="00862142" w:rsidP="006A4C6D">
      <w:pPr>
        <w:pStyle w:val="Legenda"/>
        <w:rPr>
          <w:noProof/>
        </w:rPr>
      </w:pPr>
      <w:bookmarkStart w:id="25" w:name="_Toc216787129"/>
      <w:r w:rsidRPr="00A848AE">
        <w:rPr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B21303B" wp14:editId="1CA968B0">
            <wp:simplePos x="0" y="0"/>
            <wp:positionH relativeFrom="column">
              <wp:posOffset>1243330</wp:posOffset>
            </wp:positionH>
            <wp:positionV relativeFrom="paragraph">
              <wp:posOffset>339090</wp:posOffset>
            </wp:positionV>
            <wp:extent cx="3081020" cy="1412875"/>
            <wp:effectExtent l="0" t="0" r="5080" b="0"/>
            <wp:wrapTopAndBottom/>
            <wp:docPr id="48" name="Wykres 48" descr="Wykres przedstawia zmiany zachodzące w danym kwartale oraz w minionych kwartałach w porównaniu z tymi samymi okresami dwa lata wstecz. Dane przedstawione w Tabeli 9.2 poniżej." title="Wykres 9. 2 Dynamika ruchu względem 2 lat wstecz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8AE" w:rsidRPr="00A848AE">
        <w:rPr>
          <w:rFonts w:cstheme="minorHAnsi"/>
          <w:b/>
          <w:szCs w:val="24"/>
        </w:rPr>
        <w:t>Ta</w:t>
      </w:r>
      <w:r w:rsidR="00284E0B" w:rsidRPr="00A848AE">
        <w:rPr>
          <w:b/>
        </w:rPr>
        <w:t>be</w:t>
      </w:r>
      <w:r w:rsidR="00284E0B" w:rsidRPr="00E401F0">
        <w:rPr>
          <w:b/>
        </w:rPr>
        <w:t xml:space="preserve">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="00284E0B" w:rsidRPr="00E401F0">
        <w:rPr>
          <w:noProof/>
        </w:rPr>
        <w:t xml:space="preserve"> Dy</w:t>
      </w:r>
      <w:r w:rsidR="00894573">
        <w:rPr>
          <w:noProof/>
        </w:rPr>
        <w:t>namika ruchu 2025</w:t>
      </w:r>
      <w:r w:rsidR="00284E0B" w:rsidRPr="00E401F0">
        <w:rPr>
          <w:noProof/>
        </w:rPr>
        <w:t xml:space="preserve"> vs. 202</w:t>
      </w:r>
      <w:r w:rsidR="00894573">
        <w:rPr>
          <w:noProof/>
        </w:rPr>
        <w:t>4</w:t>
      </w:r>
      <w:bookmarkEnd w:id="25"/>
    </w:p>
    <w:p w14:paraId="29141C15" w14:textId="2F75670B" w:rsidR="00234D3E" w:rsidRPr="00234D3E" w:rsidRDefault="002D4F08" w:rsidP="00816F92">
      <w:pPr>
        <w:jc w:val="center"/>
      </w:pPr>
      <w:bookmarkStart w:id="26" w:name="_Toc219462787"/>
      <w:r w:rsidRPr="00816F92">
        <w:rPr>
          <w:b/>
          <w:i/>
          <w:iCs/>
          <w:sz w:val="22"/>
          <w:szCs w:val="18"/>
        </w:rPr>
        <w:t xml:space="preserve">Wykres </w:t>
      </w:r>
      <w:r w:rsidR="00F27BCD" w:rsidRPr="00816F92">
        <w:rPr>
          <w:b/>
          <w:i/>
          <w:iCs/>
          <w:sz w:val="22"/>
          <w:szCs w:val="18"/>
        </w:rPr>
        <w:fldChar w:fldCharType="begin"/>
      </w:r>
      <w:r w:rsidR="00F27BCD" w:rsidRPr="00816F92">
        <w:rPr>
          <w:b/>
          <w:i/>
          <w:iCs/>
          <w:sz w:val="22"/>
          <w:szCs w:val="18"/>
        </w:rPr>
        <w:instrText xml:space="preserve"> STYLEREF 1 \s </w:instrText>
      </w:r>
      <w:r w:rsidR="00F27BCD" w:rsidRPr="00816F92">
        <w:rPr>
          <w:b/>
          <w:i/>
          <w:iCs/>
          <w:sz w:val="22"/>
          <w:szCs w:val="18"/>
        </w:rPr>
        <w:fldChar w:fldCharType="separate"/>
      </w:r>
      <w:r w:rsidR="00F27BCD" w:rsidRPr="00816F92">
        <w:rPr>
          <w:b/>
          <w:i/>
          <w:iCs/>
          <w:sz w:val="22"/>
          <w:szCs w:val="18"/>
        </w:rPr>
        <w:t>9</w:t>
      </w:r>
      <w:r w:rsidR="00F27BCD" w:rsidRPr="00816F92">
        <w:rPr>
          <w:b/>
          <w:i/>
          <w:iCs/>
          <w:sz w:val="22"/>
          <w:szCs w:val="18"/>
        </w:rPr>
        <w:fldChar w:fldCharType="end"/>
      </w:r>
      <w:r w:rsidR="00F27BCD" w:rsidRPr="00816F92">
        <w:rPr>
          <w:b/>
          <w:i/>
          <w:iCs/>
          <w:sz w:val="22"/>
          <w:szCs w:val="18"/>
        </w:rPr>
        <w:t>.</w:t>
      </w:r>
      <w:r w:rsidR="00F27BCD" w:rsidRPr="00816F92">
        <w:rPr>
          <w:b/>
          <w:i/>
          <w:iCs/>
          <w:sz w:val="22"/>
          <w:szCs w:val="18"/>
        </w:rPr>
        <w:fldChar w:fldCharType="begin"/>
      </w:r>
      <w:r w:rsidR="00F27BCD" w:rsidRPr="00816F92">
        <w:rPr>
          <w:b/>
          <w:i/>
          <w:iCs/>
          <w:sz w:val="22"/>
          <w:szCs w:val="18"/>
        </w:rPr>
        <w:instrText xml:space="preserve"> SEQ Wykres \* ARABIC \s 1 </w:instrText>
      </w:r>
      <w:r w:rsidR="00F27BCD" w:rsidRPr="00816F92">
        <w:rPr>
          <w:b/>
          <w:i/>
          <w:iCs/>
          <w:sz w:val="22"/>
          <w:szCs w:val="18"/>
        </w:rPr>
        <w:fldChar w:fldCharType="separate"/>
      </w:r>
      <w:r w:rsidR="00F27BCD" w:rsidRPr="00816F92">
        <w:rPr>
          <w:b/>
          <w:i/>
          <w:iCs/>
          <w:sz w:val="22"/>
          <w:szCs w:val="18"/>
        </w:rPr>
        <w:t>2</w:t>
      </w:r>
      <w:r w:rsidR="00F27BCD" w:rsidRPr="00816F92">
        <w:rPr>
          <w:b/>
          <w:i/>
          <w:iCs/>
          <w:sz w:val="22"/>
          <w:szCs w:val="18"/>
        </w:rPr>
        <w:fldChar w:fldCharType="end"/>
      </w:r>
      <w:r w:rsidR="002A1EAC" w:rsidRPr="00816F92">
        <w:rPr>
          <w:b/>
          <w:i/>
          <w:iCs/>
          <w:sz w:val="22"/>
          <w:szCs w:val="18"/>
        </w:rPr>
        <w:t>.</w:t>
      </w:r>
      <w:r w:rsidRPr="002D4F08">
        <w:rPr>
          <w:noProof/>
        </w:rPr>
        <w:t xml:space="preserve"> </w:t>
      </w:r>
      <w:r w:rsidR="001B72F1" w:rsidRPr="00816F92">
        <w:rPr>
          <w:rFonts w:ascii="Calibri" w:eastAsia="Times New Roman" w:hAnsi="Calibri" w:cs="Calibri"/>
          <w:i/>
          <w:iCs/>
          <w:color w:val="000000"/>
          <w:sz w:val="22"/>
          <w:szCs w:val="18"/>
          <w:lang w:eastAsia="pl-PL"/>
        </w:rPr>
        <w:t>Dynamika ruchu 2025 vs. 2023 – wykres przedstawia zmiany zachodzące w drugim kwartale</w:t>
      </w:r>
      <w:r w:rsidR="003E70F6" w:rsidRPr="00816F92">
        <w:rPr>
          <w:rFonts w:ascii="Calibri" w:eastAsia="Times New Roman" w:hAnsi="Calibri" w:cs="Calibri"/>
          <w:i/>
          <w:iCs/>
          <w:color w:val="000000"/>
          <w:sz w:val="22"/>
          <w:szCs w:val="18"/>
          <w:lang w:eastAsia="pl-PL"/>
        </w:rPr>
        <w:t xml:space="preserve"> </w:t>
      </w:r>
      <w:r w:rsidR="001B72F1" w:rsidRPr="00816F92">
        <w:rPr>
          <w:rFonts w:ascii="Calibri" w:eastAsia="Times New Roman" w:hAnsi="Calibri" w:cs="Calibri"/>
          <w:i/>
          <w:iCs/>
          <w:color w:val="000000"/>
          <w:sz w:val="22"/>
          <w:szCs w:val="18"/>
          <w:lang w:eastAsia="pl-PL"/>
        </w:rPr>
        <w:t>2025 roku oraz łącznie w pierwszej połowie 2025 roku w porównaniu z analogicznymi okresami roku 2023</w:t>
      </w:r>
      <w:bookmarkEnd w:id="26"/>
    </w:p>
    <w:tbl>
      <w:tblPr>
        <w:tblW w:w="2967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1336"/>
      </w:tblGrid>
      <w:tr w:rsidR="00A848AE" w:rsidRPr="006E19B1" w14:paraId="104F2CE2" w14:textId="77777777" w:rsidTr="00234D3E">
        <w:trPr>
          <w:trHeight w:val="317"/>
          <w:jc w:val="center"/>
        </w:trPr>
        <w:tc>
          <w:tcPr>
            <w:tcW w:w="1631" w:type="dxa"/>
            <w:shd w:val="clear" w:color="000000" w:fill="283772"/>
            <w:vAlign w:val="center"/>
            <w:hideMark/>
          </w:tcPr>
          <w:p w14:paraId="13BA909F" w14:textId="77777777" w:rsidR="00A848AE" w:rsidRPr="00784941" w:rsidRDefault="00A848AE" w:rsidP="00234D3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2025 vs. 2023</w:t>
            </w:r>
          </w:p>
        </w:tc>
        <w:tc>
          <w:tcPr>
            <w:tcW w:w="1336" w:type="dxa"/>
            <w:shd w:val="clear" w:color="000000" w:fill="283772"/>
            <w:vAlign w:val="center"/>
            <w:hideMark/>
          </w:tcPr>
          <w:p w14:paraId="774AEC11" w14:textId="77777777" w:rsidR="00A848AE" w:rsidRPr="00784941" w:rsidRDefault="00A848AE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Dynamika</w:t>
            </w:r>
          </w:p>
        </w:tc>
      </w:tr>
      <w:tr w:rsidR="00A848AE" w:rsidRPr="006E19B1" w14:paraId="11D17315" w14:textId="77777777" w:rsidTr="00234D3E">
        <w:trPr>
          <w:trHeight w:val="317"/>
          <w:jc w:val="center"/>
        </w:trPr>
        <w:tc>
          <w:tcPr>
            <w:tcW w:w="1631" w:type="dxa"/>
            <w:shd w:val="clear" w:color="000000" w:fill="283772"/>
            <w:vAlign w:val="center"/>
            <w:hideMark/>
          </w:tcPr>
          <w:p w14:paraId="4879925F" w14:textId="77777777" w:rsidR="00A848AE" w:rsidRPr="006E19B1" w:rsidRDefault="00A848AE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6E19B1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Narastająco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14:paraId="7AF13028" w14:textId="77777777" w:rsidR="00A848AE" w:rsidRPr="006E19B1" w:rsidRDefault="00A848AE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6E19B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28,0%</w:t>
            </w:r>
          </w:p>
        </w:tc>
      </w:tr>
      <w:tr w:rsidR="00A848AE" w:rsidRPr="006E19B1" w14:paraId="104BDAED" w14:textId="77777777" w:rsidTr="00234D3E">
        <w:trPr>
          <w:trHeight w:val="317"/>
          <w:jc w:val="center"/>
        </w:trPr>
        <w:tc>
          <w:tcPr>
            <w:tcW w:w="1631" w:type="dxa"/>
            <w:shd w:val="clear" w:color="000000" w:fill="283772"/>
            <w:vAlign w:val="center"/>
            <w:hideMark/>
          </w:tcPr>
          <w:p w14:paraId="2B38AC8B" w14:textId="77777777" w:rsidR="00A848AE" w:rsidRPr="006E19B1" w:rsidRDefault="00A848AE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6E19B1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II-kwartał</w:t>
            </w:r>
          </w:p>
        </w:tc>
        <w:tc>
          <w:tcPr>
            <w:tcW w:w="1336" w:type="dxa"/>
            <w:shd w:val="clear" w:color="000000" w:fill="E6E9F6"/>
            <w:vAlign w:val="center"/>
            <w:hideMark/>
          </w:tcPr>
          <w:p w14:paraId="38402803" w14:textId="77777777" w:rsidR="00A848AE" w:rsidRPr="006E19B1" w:rsidRDefault="00A848AE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6E19B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26,3%</w:t>
            </w:r>
          </w:p>
        </w:tc>
      </w:tr>
    </w:tbl>
    <w:p w14:paraId="6BA7C5DA" w14:textId="77777777" w:rsidR="00284E0B" w:rsidRDefault="00A848AE" w:rsidP="00862142">
      <w:pPr>
        <w:jc w:val="center"/>
        <w:rPr>
          <w:i/>
          <w:noProof/>
          <w:sz w:val="22"/>
        </w:rPr>
      </w:pPr>
      <w:bookmarkStart w:id="27" w:name="_Toc216787130"/>
      <w:r>
        <w:rPr>
          <w:b/>
          <w:i/>
          <w:sz w:val="22"/>
        </w:rPr>
        <w:t>T</w:t>
      </w:r>
      <w:r w:rsidR="00284E0B" w:rsidRPr="00862142">
        <w:rPr>
          <w:b/>
          <w:i/>
          <w:sz w:val="22"/>
        </w:rPr>
        <w:t xml:space="preserve">abela </w:t>
      </w:r>
      <w:r w:rsidR="005C03F8" w:rsidRPr="00862142">
        <w:rPr>
          <w:b/>
          <w:i/>
          <w:sz w:val="22"/>
        </w:rPr>
        <w:fldChar w:fldCharType="begin"/>
      </w:r>
      <w:r w:rsidR="005C03F8" w:rsidRPr="00862142">
        <w:rPr>
          <w:b/>
          <w:i/>
          <w:sz w:val="22"/>
        </w:rPr>
        <w:instrText xml:space="preserve"> STYLEREF 1 \s </w:instrText>
      </w:r>
      <w:r w:rsidR="005C03F8" w:rsidRPr="00862142">
        <w:rPr>
          <w:b/>
          <w:i/>
          <w:sz w:val="22"/>
        </w:rPr>
        <w:fldChar w:fldCharType="separate"/>
      </w:r>
      <w:r w:rsidR="005C03F8" w:rsidRPr="00862142">
        <w:rPr>
          <w:b/>
          <w:i/>
          <w:noProof/>
          <w:sz w:val="22"/>
        </w:rPr>
        <w:t>9</w:t>
      </w:r>
      <w:r w:rsidR="005C03F8" w:rsidRPr="00862142">
        <w:rPr>
          <w:b/>
          <w:i/>
          <w:sz w:val="22"/>
        </w:rPr>
        <w:fldChar w:fldCharType="end"/>
      </w:r>
      <w:r w:rsidR="005C03F8" w:rsidRPr="00862142">
        <w:rPr>
          <w:b/>
          <w:i/>
          <w:sz w:val="22"/>
        </w:rPr>
        <w:t>.</w:t>
      </w:r>
      <w:r w:rsidR="005C03F8" w:rsidRPr="00862142">
        <w:rPr>
          <w:b/>
          <w:i/>
          <w:sz w:val="22"/>
        </w:rPr>
        <w:fldChar w:fldCharType="begin"/>
      </w:r>
      <w:r w:rsidR="005C03F8" w:rsidRPr="00862142">
        <w:rPr>
          <w:b/>
          <w:i/>
          <w:sz w:val="22"/>
        </w:rPr>
        <w:instrText xml:space="preserve"> SEQ Tabela \* ARABIC \s 1 </w:instrText>
      </w:r>
      <w:r w:rsidR="005C03F8" w:rsidRPr="00862142">
        <w:rPr>
          <w:b/>
          <w:i/>
          <w:sz w:val="22"/>
        </w:rPr>
        <w:fldChar w:fldCharType="separate"/>
      </w:r>
      <w:r w:rsidR="005C03F8" w:rsidRPr="00862142">
        <w:rPr>
          <w:b/>
          <w:i/>
          <w:noProof/>
          <w:sz w:val="22"/>
        </w:rPr>
        <w:t>2</w:t>
      </w:r>
      <w:r w:rsidR="005C03F8" w:rsidRPr="00862142">
        <w:rPr>
          <w:b/>
          <w:i/>
          <w:sz w:val="22"/>
        </w:rPr>
        <w:fldChar w:fldCharType="end"/>
      </w:r>
      <w:r w:rsidR="00284E0B" w:rsidRPr="00862142">
        <w:rPr>
          <w:i/>
          <w:noProof/>
          <w:sz w:val="22"/>
        </w:rPr>
        <w:t xml:space="preserve"> Dynamika ruchu 202</w:t>
      </w:r>
      <w:r w:rsidR="00894573" w:rsidRPr="00862142">
        <w:rPr>
          <w:i/>
          <w:noProof/>
          <w:sz w:val="22"/>
        </w:rPr>
        <w:t>5</w:t>
      </w:r>
      <w:r w:rsidR="00284E0B" w:rsidRPr="00862142">
        <w:rPr>
          <w:i/>
          <w:noProof/>
          <w:sz w:val="22"/>
        </w:rPr>
        <w:t xml:space="preserve"> vs. 202</w:t>
      </w:r>
      <w:r w:rsidR="00894573" w:rsidRPr="00862142">
        <w:rPr>
          <w:i/>
          <w:noProof/>
          <w:sz w:val="22"/>
        </w:rPr>
        <w:t>3</w:t>
      </w:r>
      <w:bookmarkEnd w:id="27"/>
    </w:p>
    <w:p w14:paraId="20C420DB" w14:textId="77777777" w:rsidR="006C6E4E" w:rsidRDefault="006C6E4E" w:rsidP="006C6E4E">
      <w:pPr>
        <w:rPr>
          <w:rFonts w:cstheme="minorHAnsi"/>
          <w:szCs w:val="24"/>
        </w:rPr>
      </w:pPr>
      <w:r>
        <w:rPr>
          <w:rFonts w:cstheme="minorHAnsi"/>
          <w:szCs w:val="24"/>
        </w:rPr>
        <w:t>W pierwszych miesiącach sezonu letniego zaobserwowano wysoki wzrost tak w ruchu regularnym jak i czarterowym.</w:t>
      </w:r>
    </w:p>
    <w:p w14:paraId="1F2D2DCE" w14:textId="3808C899" w:rsidR="006C6E4E" w:rsidRDefault="006C6E4E" w:rsidP="006C6E4E">
      <w:pPr>
        <w:rPr>
          <w:rFonts w:cstheme="minorHAnsi"/>
          <w:szCs w:val="24"/>
        </w:rPr>
      </w:pPr>
      <w:r>
        <w:rPr>
          <w:rFonts w:cstheme="minorHAnsi"/>
          <w:szCs w:val="24"/>
        </w:rPr>
        <w:t>W przypadku ruchu czarterowego w drugim kwartale 2025 r</w:t>
      </w:r>
      <w:r w:rsidR="007B5C38">
        <w:rPr>
          <w:rFonts w:cstheme="minorHAnsi"/>
          <w:szCs w:val="24"/>
        </w:rPr>
        <w:t>oku</w:t>
      </w:r>
      <w:r>
        <w:rPr>
          <w:rFonts w:cstheme="minorHAnsi"/>
          <w:szCs w:val="24"/>
        </w:rPr>
        <w:t xml:space="preserve"> odnotowano następujące dynamiki</w:t>
      </w:r>
      <w:r w:rsidR="00816F92">
        <w:rPr>
          <w:rFonts w:cstheme="minorHAnsi"/>
          <w:szCs w:val="24"/>
        </w:rPr>
        <w:t xml:space="preserve"> liczby pasażerów</w:t>
      </w:r>
      <w:r>
        <w:rPr>
          <w:rFonts w:cstheme="minorHAnsi"/>
          <w:szCs w:val="24"/>
        </w:rPr>
        <w:t>: 33,7%</w:t>
      </w:r>
      <w:r w:rsidRPr="00E401F0">
        <w:rPr>
          <w:rFonts w:cstheme="minorHAnsi"/>
          <w:szCs w:val="24"/>
        </w:rPr>
        <w:t xml:space="preserve"> dla </w:t>
      </w:r>
      <w:r>
        <w:rPr>
          <w:rFonts w:cstheme="minorHAnsi"/>
          <w:szCs w:val="24"/>
        </w:rPr>
        <w:t>kwietnia</w:t>
      </w:r>
      <w:r w:rsidRPr="00E401F0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16,7</w:t>
      </w:r>
      <w:r w:rsidRPr="00E401F0">
        <w:rPr>
          <w:rFonts w:cstheme="minorHAnsi"/>
          <w:szCs w:val="24"/>
        </w:rPr>
        <w:t xml:space="preserve">% dla </w:t>
      </w:r>
      <w:r>
        <w:rPr>
          <w:rFonts w:cstheme="minorHAnsi"/>
          <w:szCs w:val="24"/>
        </w:rPr>
        <w:t>maja</w:t>
      </w:r>
      <w:r w:rsidRPr="00E401F0">
        <w:rPr>
          <w:rFonts w:cstheme="minorHAnsi"/>
          <w:szCs w:val="24"/>
        </w:rPr>
        <w:t xml:space="preserve"> oraz </w:t>
      </w:r>
      <w:r>
        <w:rPr>
          <w:rFonts w:cstheme="minorHAnsi"/>
          <w:szCs w:val="24"/>
        </w:rPr>
        <w:t>7,7</w:t>
      </w:r>
      <w:r w:rsidRPr="00E401F0">
        <w:rPr>
          <w:rFonts w:cstheme="minorHAnsi"/>
          <w:szCs w:val="24"/>
        </w:rPr>
        <w:t xml:space="preserve">% dla </w:t>
      </w:r>
      <w:r>
        <w:rPr>
          <w:rFonts w:cstheme="minorHAnsi"/>
          <w:szCs w:val="24"/>
        </w:rPr>
        <w:t>czerwca</w:t>
      </w:r>
      <w:r w:rsidRPr="00E401F0">
        <w:rPr>
          <w:rFonts w:cstheme="minorHAnsi"/>
          <w:szCs w:val="24"/>
        </w:rPr>
        <w:t>. Wz</w:t>
      </w:r>
      <w:r>
        <w:rPr>
          <w:rFonts w:cstheme="minorHAnsi"/>
          <w:szCs w:val="24"/>
        </w:rPr>
        <w:t>ględem tych samych miesięcy 2023 r</w:t>
      </w:r>
      <w:r w:rsidR="007B5C38">
        <w:rPr>
          <w:rFonts w:cstheme="minorHAnsi"/>
          <w:szCs w:val="24"/>
        </w:rPr>
        <w:t>oku</w:t>
      </w:r>
      <w:r>
        <w:rPr>
          <w:rFonts w:cstheme="minorHAnsi"/>
          <w:szCs w:val="24"/>
        </w:rPr>
        <w:t xml:space="preserve"> dynamiki były znacznie wyższe i wyniosły</w:t>
      </w:r>
      <w:r w:rsidRPr="00E401F0">
        <w:rPr>
          <w:rFonts w:cstheme="minorHAnsi"/>
          <w:szCs w:val="24"/>
        </w:rPr>
        <w:t xml:space="preserve"> odpowiednio</w:t>
      </w:r>
      <w:r w:rsidR="007B5C38">
        <w:rPr>
          <w:rFonts w:cstheme="minorHAnsi"/>
          <w:szCs w:val="24"/>
        </w:rPr>
        <w:t>:</w:t>
      </w:r>
      <w:r>
        <w:rPr>
          <w:rFonts w:cstheme="minorHAnsi"/>
          <w:szCs w:val="24"/>
        </w:rPr>
        <w:t xml:space="preserve"> 74,4</w:t>
      </w:r>
      <w:r w:rsidRPr="00E401F0">
        <w:rPr>
          <w:rFonts w:cstheme="minorHAnsi"/>
          <w:szCs w:val="24"/>
        </w:rPr>
        <w:t xml:space="preserve">%, </w:t>
      </w:r>
      <w:r>
        <w:rPr>
          <w:rFonts w:cstheme="minorHAnsi"/>
          <w:szCs w:val="24"/>
        </w:rPr>
        <w:t>68,1</w:t>
      </w:r>
      <w:r w:rsidRPr="00E401F0">
        <w:rPr>
          <w:rFonts w:cstheme="minorHAnsi"/>
          <w:szCs w:val="24"/>
        </w:rPr>
        <w:t xml:space="preserve">% oraz </w:t>
      </w:r>
      <w:r>
        <w:rPr>
          <w:rFonts w:cstheme="minorHAnsi"/>
          <w:szCs w:val="24"/>
        </w:rPr>
        <w:t>36,3</w:t>
      </w:r>
      <w:r w:rsidRPr="00E401F0">
        <w:rPr>
          <w:rFonts w:cstheme="minorHAnsi"/>
          <w:szCs w:val="24"/>
        </w:rPr>
        <w:t>%.</w:t>
      </w:r>
    </w:p>
    <w:p w14:paraId="2342ECD0" w14:textId="44046D2C" w:rsidR="006C6E4E" w:rsidRDefault="006C6E4E" w:rsidP="006C6E4E">
      <w:pPr>
        <w:rPr>
          <w:rFonts w:cstheme="minorHAnsi"/>
          <w:szCs w:val="24"/>
        </w:rPr>
      </w:pPr>
      <w:r>
        <w:rPr>
          <w:rFonts w:cstheme="minorHAnsi"/>
          <w:szCs w:val="24"/>
        </w:rPr>
        <w:t>W przypadku ruchu regularnego wzrosty ruchu były następujące: 13,</w:t>
      </w:r>
      <w:r w:rsidR="00816F92">
        <w:rPr>
          <w:rFonts w:cstheme="minorHAnsi"/>
          <w:szCs w:val="24"/>
        </w:rPr>
        <w:t>2</w:t>
      </w:r>
      <w:r>
        <w:rPr>
          <w:rFonts w:cstheme="minorHAnsi"/>
          <w:szCs w:val="24"/>
        </w:rPr>
        <w:t>% dla kwietnia,</w:t>
      </w:r>
      <w:r w:rsidR="003E70F6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10,3% dla maja oraz 11,</w:t>
      </w:r>
      <w:r w:rsidR="00816F92">
        <w:rPr>
          <w:rFonts w:cstheme="minorHAnsi"/>
          <w:szCs w:val="24"/>
        </w:rPr>
        <w:t>2</w:t>
      </w:r>
      <w:r>
        <w:rPr>
          <w:rFonts w:cstheme="minorHAnsi"/>
          <w:szCs w:val="24"/>
        </w:rPr>
        <w:t xml:space="preserve">% dla czerwca. Podobnie jak w przypadku ruchu czarterowego </w:t>
      </w:r>
      <w:r w:rsidR="00816F92">
        <w:rPr>
          <w:rFonts w:cstheme="minorHAnsi"/>
          <w:szCs w:val="24"/>
        </w:rPr>
        <w:t>dynamiki</w:t>
      </w:r>
      <w:r>
        <w:rPr>
          <w:rFonts w:cstheme="minorHAnsi"/>
          <w:szCs w:val="24"/>
        </w:rPr>
        <w:t xml:space="preserve"> w stosunku do półrocza 2023 r</w:t>
      </w:r>
      <w:r w:rsidR="007B5C38">
        <w:rPr>
          <w:rFonts w:cstheme="minorHAnsi"/>
          <w:szCs w:val="24"/>
        </w:rPr>
        <w:t>oku</w:t>
      </w:r>
      <w:r>
        <w:rPr>
          <w:rFonts w:cstheme="minorHAnsi"/>
          <w:szCs w:val="24"/>
        </w:rPr>
        <w:t xml:space="preserve"> były także wyższe </w:t>
      </w:r>
      <w:r w:rsidR="00CD0689">
        <w:rPr>
          <w:rFonts w:cstheme="minorHAnsi"/>
          <w:szCs w:val="24"/>
        </w:rPr>
        <w:t>tj.</w:t>
      </w:r>
      <w:r>
        <w:rPr>
          <w:rFonts w:cstheme="minorHAnsi"/>
          <w:szCs w:val="24"/>
        </w:rPr>
        <w:t>: 24,1</w:t>
      </w:r>
      <w:r w:rsidR="00816F92">
        <w:rPr>
          <w:rFonts w:cstheme="minorHAnsi"/>
          <w:szCs w:val="24"/>
        </w:rPr>
        <w:t>%</w:t>
      </w:r>
      <w:r>
        <w:rPr>
          <w:rFonts w:cstheme="minorHAnsi"/>
          <w:szCs w:val="24"/>
        </w:rPr>
        <w:t xml:space="preserve"> dla kwietnia, 23,7</w:t>
      </w:r>
      <w:r w:rsidR="00816F92">
        <w:rPr>
          <w:rFonts w:cstheme="minorHAnsi"/>
          <w:szCs w:val="24"/>
        </w:rPr>
        <w:t>%</w:t>
      </w:r>
      <w:r>
        <w:rPr>
          <w:rFonts w:cstheme="minorHAnsi"/>
          <w:szCs w:val="24"/>
        </w:rPr>
        <w:t xml:space="preserve"> dla maja i </w:t>
      </w:r>
      <w:r w:rsidR="00816F92">
        <w:rPr>
          <w:rFonts w:cstheme="minorHAnsi"/>
          <w:szCs w:val="24"/>
        </w:rPr>
        <w:t>20%</w:t>
      </w:r>
      <w:r>
        <w:rPr>
          <w:rFonts w:cstheme="minorHAnsi"/>
          <w:szCs w:val="24"/>
        </w:rPr>
        <w:t xml:space="preserve"> dla czerwca. </w:t>
      </w:r>
    </w:p>
    <w:p w14:paraId="5983AB26" w14:textId="17F1D7D3" w:rsidR="006C6E4E" w:rsidRPr="00E370B3" w:rsidRDefault="006C6E4E" w:rsidP="00E370B3">
      <w:pPr>
        <w:rPr>
          <w:rFonts w:cstheme="minorHAnsi"/>
          <w:szCs w:val="24"/>
        </w:rPr>
      </w:pPr>
      <w:r>
        <w:rPr>
          <w:rFonts w:cstheme="minorHAnsi"/>
          <w:szCs w:val="24"/>
        </w:rPr>
        <w:t>Miesięczne dynamiki liczby pasażerów dla całego ruchu względem analogicznych miesięcy 2024 roku wynosiły</w:t>
      </w:r>
      <w:r w:rsidR="007B5C38">
        <w:rPr>
          <w:rFonts w:cstheme="minorHAnsi"/>
          <w:szCs w:val="24"/>
        </w:rPr>
        <w:t>:</w:t>
      </w:r>
      <w:r>
        <w:rPr>
          <w:rFonts w:cstheme="minorHAnsi"/>
          <w:szCs w:val="24"/>
        </w:rPr>
        <w:t xml:space="preserve"> 14,6% dla kwietnia, 11,3% dla maja oraz 10,4% dla czerwca. Względem tych samych miesięcy 2023 było to o</w:t>
      </w:r>
      <w:r w:rsidR="00E370B3">
        <w:rPr>
          <w:rFonts w:cstheme="minorHAnsi"/>
          <w:szCs w:val="24"/>
        </w:rPr>
        <w:t>dpowiednio</w:t>
      </w:r>
      <w:r w:rsidR="007B5C38">
        <w:rPr>
          <w:rFonts w:cstheme="minorHAnsi"/>
          <w:szCs w:val="24"/>
        </w:rPr>
        <w:t>:</w:t>
      </w:r>
      <w:r w:rsidR="00E370B3">
        <w:rPr>
          <w:rFonts w:cstheme="minorHAnsi"/>
          <w:szCs w:val="24"/>
        </w:rPr>
        <w:t xml:space="preserve"> 27</w:t>
      </w:r>
      <w:r w:rsidR="00816F92">
        <w:rPr>
          <w:rFonts w:cstheme="minorHAnsi"/>
          <w:szCs w:val="24"/>
        </w:rPr>
        <w:t>,1</w:t>
      </w:r>
      <w:r w:rsidR="00E370B3">
        <w:rPr>
          <w:rFonts w:cstheme="minorHAnsi"/>
          <w:szCs w:val="24"/>
        </w:rPr>
        <w:t>%, 29</w:t>
      </w:r>
      <w:r w:rsidR="00816F92">
        <w:rPr>
          <w:rFonts w:cstheme="minorHAnsi"/>
          <w:szCs w:val="24"/>
        </w:rPr>
        <w:t>,1</w:t>
      </w:r>
      <w:r w:rsidR="00E370B3">
        <w:rPr>
          <w:rFonts w:cstheme="minorHAnsi"/>
          <w:szCs w:val="24"/>
        </w:rPr>
        <w:t>% oraz 23,2%.</w:t>
      </w:r>
    </w:p>
    <w:p w14:paraId="2B49A480" w14:textId="77777777" w:rsidR="00D722CB" w:rsidRPr="00E401F0" w:rsidRDefault="00D722CB" w:rsidP="00EF21A5">
      <w:pPr>
        <w:rPr>
          <w:rFonts w:cstheme="minorHAnsi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2C1E59BE" wp14:editId="2A21EC59">
            <wp:extent cx="5610225" cy="2705100"/>
            <wp:effectExtent l="0" t="0" r="0" b="0"/>
            <wp:docPr id="6" name="Wykres 6" descr="Wykres porównuje miesięczne rozłożenie ruchu pasażerskiego w poszczególnych latach w polskich portach lotniczych, z uwzględnieniem analogicznych okresów z poprzednich 2 lat. Dane przedstawione w Tabeli 9.3 poniżej." title="Wykres 9.3 Miesięczne przewozy pasażerski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2C8908E" w14:textId="002ED85B" w:rsidR="00784941" w:rsidRPr="00E370B3" w:rsidRDefault="002D4F08" w:rsidP="00050164">
      <w:pPr>
        <w:jc w:val="center"/>
        <w:rPr>
          <w:i/>
          <w:noProof/>
        </w:rPr>
      </w:pPr>
      <w:bookmarkStart w:id="28" w:name="_Toc219462788"/>
      <w:r w:rsidRPr="002610D2">
        <w:rPr>
          <w:b/>
          <w:i/>
          <w:sz w:val="22"/>
        </w:rPr>
        <w:t xml:space="preserve">Wykres </w:t>
      </w:r>
      <w:r w:rsidR="00F27BCD" w:rsidRPr="002610D2">
        <w:rPr>
          <w:b/>
          <w:i/>
          <w:sz w:val="22"/>
        </w:rPr>
        <w:fldChar w:fldCharType="begin"/>
      </w:r>
      <w:r w:rsidR="00F27BCD" w:rsidRPr="002610D2">
        <w:rPr>
          <w:b/>
          <w:i/>
          <w:sz w:val="22"/>
        </w:rPr>
        <w:instrText xml:space="preserve"> STYLEREF 1 \s </w:instrText>
      </w:r>
      <w:r w:rsidR="00F27BCD" w:rsidRPr="002610D2">
        <w:rPr>
          <w:b/>
          <w:i/>
          <w:sz w:val="22"/>
        </w:rPr>
        <w:fldChar w:fldCharType="separate"/>
      </w:r>
      <w:r w:rsidR="00F27BCD" w:rsidRPr="002610D2">
        <w:rPr>
          <w:b/>
          <w:i/>
          <w:noProof/>
          <w:sz w:val="22"/>
        </w:rPr>
        <w:t>9</w:t>
      </w:r>
      <w:r w:rsidR="00F27BCD" w:rsidRPr="002610D2">
        <w:rPr>
          <w:b/>
          <w:i/>
          <w:sz w:val="22"/>
        </w:rPr>
        <w:fldChar w:fldCharType="end"/>
      </w:r>
      <w:r w:rsidR="00F27BCD" w:rsidRPr="002610D2">
        <w:rPr>
          <w:b/>
          <w:i/>
          <w:sz w:val="22"/>
        </w:rPr>
        <w:t>.</w:t>
      </w:r>
      <w:r w:rsidR="00F27BCD" w:rsidRPr="002610D2">
        <w:rPr>
          <w:b/>
          <w:i/>
          <w:sz w:val="22"/>
        </w:rPr>
        <w:fldChar w:fldCharType="begin"/>
      </w:r>
      <w:r w:rsidR="00F27BCD" w:rsidRPr="002610D2">
        <w:rPr>
          <w:b/>
          <w:i/>
          <w:sz w:val="22"/>
        </w:rPr>
        <w:instrText xml:space="preserve"> SEQ Wykres \* ARABIC \s 1 </w:instrText>
      </w:r>
      <w:r w:rsidR="00F27BCD" w:rsidRPr="002610D2">
        <w:rPr>
          <w:b/>
          <w:i/>
          <w:sz w:val="22"/>
        </w:rPr>
        <w:fldChar w:fldCharType="separate"/>
      </w:r>
      <w:r w:rsidR="00F27BCD" w:rsidRPr="002610D2">
        <w:rPr>
          <w:b/>
          <w:i/>
          <w:noProof/>
          <w:sz w:val="22"/>
        </w:rPr>
        <w:t>3</w:t>
      </w:r>
      <w:r w:rsidR="00F27BCD" w:rsidRPr="002610D2">
        <w:rPr>
          <w:b/>
          <w:i/>
          <w:sz w:val="22"/>
        </w:rPr>
        <w:fldChar w:fldCharType="end"/>
      </w:r>
      <w:r w:rsidRPr="00A848AE">
        <w:rPr>
          <w:i/>
          <w:noProof/>
        </w:rPr>
        <w:t xml:space="preserve"> </w:t>
      </w:r>
      <w:r w:rsidR="001B72F1" w:rsidRPr="001B72F1">
        <w:rPr>
          <w:rFonts w:ascii="Calibri" w:eastAsia="Times New Roman" w:hAnsi="Calibri" w:cs="Calibri"/>
          <w:i/>
          <w:color w:val="000000"/>
          <w:sz w:val="22"/>
          <w:lang w:eastAsia="pl-PL"/>
        </w:rPr>
        <w:t xml:space="preserve">Miesięczne przewozy pasażerskie – wykres porównuje miesięczne rozłożenie ruchu pasażerskiego w polskich portach lotniczych w latach 2025, 2024 i </w:t>
      </w:r>
      <w:r w:rsidR="001B72F1" w:rsidRPr="001B72F1">
        <w:rPr>
          <w:i/>
          <w:sz w:val="22"/>
        </w:rPr>
        <w:t>2023</w:t>
      </w:r>
      <w:bookmarkEnd w:id="28"/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1100"/>
        <w:gridCol w:w="1100"/>
        <w:gridCol w:w="1100"/>
      </w:tblGrid>
      <w:tr w:rsidR="00115E0A" w:rsidRPr="00BD42B0" w14:paraId="333AEC74" w14:textId="77777777" w:rsidTr="00234D3E">
        <w:trPr>
          <w:trHeight w:val="317"/>
          <w:jc w:val="center"/>
        </w:trPr>
        <w:tc>
          <w:tcPr>
            <w:tcW w:w="0" w:type="auto"/>
            <w:tcBorders>
              <w:top w:val="single" w:sz="8" w:space="0" w:color="283772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01094A1B" w14:textId="77777777" w:rsidR="00115E0A" w:rsidRPr="00BD42B0" w:rsidRDefault="00115E0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Miesiąc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5C6C8BEE" w14:textId="77777777" w:rsidR="00115E0A" w:rsidRPr="00BD42B0" w:rsidRDefault="00115E0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2025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4B41040D" w14:textId="77777777" w:rsidR="00115E0A" w:rsidRPr="00BD42B0" w:rsidRDefault="00115E0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2024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18453CD1" w14:textId="77777777" w:rsidR="00115E0A" w:rsidRPr="00BD42B0" w:rsidRDefault="00115E0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2023</w:t>
            </w:r>
          </w:p>
        </w:tc>
      </w:tr>
      <w:tr w:rsidR="00115E0A" w:rsidRPr="00BD42B0" w14:paraId="6C5AA25D" w14:textId="77777777" w:rsidTr="00234D3E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768DDF66" w14:textId="77777777" w:rsidR="00115E0A" w:rsidRPr="00BD42B0" w:rsidRDefault="00115E0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3BC05446" w14:textId="77777777" w:rsidR="00115E0A" w:rsidRPr="00BD42B0" w:rsidRDefault="00115E0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3 884 873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5C6DE3F5" w14:textId="77777777" w:rsidR="00115E0A" w:rsidRPr="00BD42B0" w:rsidRDefault="00115E0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3 547 461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7ECF28BC" w14:textId="77777777" w:rsidR="00115E0A" w:rsidRPr="00BD42B0" w:rsidRDefault="00115E0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3 074 831</w:t>
            </w:r>
          </w:p>
        </w:tc>
      </w:tr>
      <w:tr w:rsidR="00784941" w:rsidRPr="00BD42B0" w14:paraId="006B619D" w14:textId="77777777" w:rsidTr="00234D3E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6C13C38B" w14:textId="7777777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4D418BC7" w14:textId="7777777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3 991 782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669C3ADD" w14:textId="7DCAFD46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3 515 905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128B2DDE" w14:textId="54FD543C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2 953 532</w:t>
            </w:r>
          </w:p>
        </w:tc>
      </w:tr>
      <w:tr w:rsidR="00784941" w:rsidRPr="00BD42B0" w14:paraId="2B221D54" w14:textId="77777777" w:rsidTr="00234D3E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328C6DD9" w14:textId="7777777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505EDEF2" w14:textId="7777777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4 413 608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629BC955" w14:textId="1D709352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3 929 073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0D87BB1E" w14:textId="12833545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3 385 468</w:t>
            </w:r>
          </w:p>
        </w:tc>
      </w:tr>
      <w:tr w:rsidR="00784941" w:rsidRPr="00BD42B0" w14:paraId="26253DEF" w14:textId="77777777" w:rsidTr="00234D3E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56CBF888" w14:textId="7777777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6A0A4B27" w14:textId="7777777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5 027 008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27F1F787" w14:textId="52F09BD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4 387 664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08B1C027" w14:textId="10D69C72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3 955 818</w:t>
            </w:r>
          </w:p>
        </w:tc>
      </w:tr>
      <w:tr w:rsidR="00784941" w:rsidRPr="00BD42B0" w14:paraId="7C0928CF" w14:textId="77777777" w:rsidTr="00234D3E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7DC5C247" w14:textId="7777777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26BB106F" w14:textId="7777777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5 895 695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717248DD" w14:textId="6C8B7573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5 297 664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48623E9F" w14:textId="684EE34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4 567 802</w:t>
            </w:r>
          </w:p>
        </w:tc>
      </w:tr>
      <w:tr w:rsidR="00784941" w:rsidRPr="00BD42B0" w14:paraId="6D8A9031" w14:textId="77777777" w:rsidTr="00234D3E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066F7F3E" w14:textId="7777777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7E7132AE" w14:textId="7777777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6 528 367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57B23026" w14:textId="73B3AF21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5 915 448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69EE1438" w14:textId="27AD89F0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5 296 896</w:t>
            </w:r>
          </w:p>
        </w:tc>
      </w:tr>
      <w:tr w:rsidR="00784941" w:rsidRPr="00BD42B0" w14:paraId="3D68981D" w14:textId="77777777" w:rsidTr="00234D3E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77CA9E8F" w14:textId="7777777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3331D068" w14:textId="7777777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1914F462" w14:textId="33D42325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6 449 013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53F01BD5" w14:textId="144554B5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5 762 824</w:t>
            </w:r>
          </w:p>
        </w:tc>
      </w:tr>
      <w:tr w:rsidR="00784941" w:rsidRPr="00BD42B0" w14:paraId="1D224DE0" w14:textId="77777777" w:rsidTr="00234D3E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70A0734A" w14:textId="7777777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5673C728" w14:textId="7777777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32AC2B50" w14:textId="28D93285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6 544 767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1206777A" w14:textId="0A8BA355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5 772 432</w:t>
            </w:r>
          </w:p>
        </w:tc>
      </w:tr>
      <w:tr w:rsidR="00784941" w:rsidRPr="00BD42B0" w14:paraId="1BF7160E" w14:textId="77777777" w:rsidTr="00234D3E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481259F3" w14:textId="7777777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03119560" w14:textId="7777777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549C2C09" w14:textId="36CC95E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6 099 322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06523CE7" w14:textId="41B167CA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5 430 970</w:t>
            </w:r>
          </w:p>
        </w:tc>
      </w:tr>
      <w:tr w:rsidR="00784941" w:rsidRPr="00BD42B0" w14:paraId="11820471" w14:textId="77777777" w:rsidTr="00234D3E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7115CA09" w14:textId="7777777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6BF4A8E3" w14:textId="7777777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240002C7" w14:textId="44B49524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5 329 993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bottom"/>
            <w:hideMark/>
          </w:tcPr>
          <w:p w14:paraId="2F775EF1" w14:textId="14335308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4 723 881</w:t>
            </w:r>
          </w:p>
        </w:tc>
      </w:tr>
      <w:tr w:rsidR="00784941" w:rsidRPr="00BD42B0" w14:paraId="515992E3" w14:textId="77777777" w:rsidTr="00234D3E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43F12211" w14:textId="7777777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14B4B6CD" w14:textId="77777777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73D59B07" w14:textId="2BA8C83E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4 053 695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bottom"/>
            <w:hideMark/>
          </w:tcPr>
          <w:p w14:paraId="64A96376" w14:textId="544F389D" w:rsidR="00784941" w:rsidRPr="00BD42B0" w:rsidRDefault="00784941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784941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3 603 606</w:t>
            </w:r>
          </w:p>
        </w:tc>
      </w:tr>
      <w:tr w:rsidR="00115E0A" w:rsidRPr="00BD42B0" w14:paraId="7D8F6D82" w14:textId="77777777" w:rsidTr="00234D3E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7464F351" w14:textId="77777777" w:rsidR="00115E0A" w:rsidRPr="00BD42B0" w:rsidRDefault="00115E0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5FD756FF" w14:textId="77777777" w:rsidR="00115E0A" w:rsidRPr="00BD42B0" w:rsidRDefault="00115E0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6331561E" w14:textId="77777777" w:rsidR="00115E0A" w:rsidRPr="00BD42B0" w:rsidRDefault="00115E0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4 120 263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76C1A2CC" w14:textId="77777777" w:rsidR="00115E0A" w:rsidRPr="00BD42B0" w:rsidRDefault="00115E0A" w:rsidP="00234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BD42B0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3 695 745</w:t>
            </w:r>
          </w:p>
        </w:tc>
      </w:tr>
    </w:tbl>
    <w:p w14:paraId="6BD9EAD8" w14:textId="77777777" w:rsidR="00A848AE" w:rsidRPr="00862142" w:rsidRDefault="00A848AE" w:rsidP="00234D3E">
      <w:pPr>
        <w:jc w:val="center"/>
        <w:rPr>
          <w:b/>
          <w:i/>
          <w:sz w:val="22"/>
        </w:rPr>
      </w:pPr>
      <w:bookmarkStart w:id="29" w:name="_Toc216787131"/>
      <w:r>
        <w:rPr>
          <w:b/>
          <w:i/>
          <w:sz w:val="22"/>
        </w:rPr>
        <w:t>T</w:t>
      </w:r>
      <w:r w:rsidRPr="00862142">
        <w:rPr>
          <w:b/>
          <w:i/>
          <w:sz w:val="22"/>
        </w:rPr>
        <w:t xml:space="preserve">abela </w:t>
      </w:r>
      <w:r w:rsidRPr="00862142">
        <w:rPr>
          <w:b/>
          <w:i/>
          <w:sz w:val="22"/>
        </w:rPr>
        <w:fldChar w:fldCharType="begin"/>
      </w:r>
      <w:r w:rsidRPr="00862142">
        <w:rPr>
          <w:b/>
          <w:i/>
          <w:sz w:val="22"/>
        </w:rPr>
        <w:instrText xml:space="preserve"> STYLEREF 1 \s </w:instrText>
      </w:r>
      <w:r w:rsidRPr="00862142">
        <w:rPr>
          <w:b/>
          <w:i/>
          <w:sz w:val="22"/>
        </w:rPr>
        <w:fldChar w:fldCharType="separate"/>
      </w:r>
      <w:r w:rsidRPr="00862142">
        <w:rPr>
          <w:b/>
          <w:i/>
          <w:noProof/>
          <w:sz w:val="22"/>
        </w:rPr>
        <w:t>9</w:t>
      </w:r>
      <w:r w:rsidRPr="00862142">
        <w:rPr>
          <w:b/>
          <w:i/>
          <w:sz w:val="22"/>
        </w:rPr>
        <w:fldChar w:fldCharType="end"/>
      </w:r>
      <w:r w:rsidRPr="00862142">
        <w:rPr>
          <w:b/>
          <w:i/>
          <w:sz w:val="22"/>
        </w:rPr>
        <w:t>.</w:t>
      </w:r>
      <w:r w:rsidRPr="00862142">
        <w:rPr>
          <w:b/>
          <w:i/>
          <w:sz w:val="22"/>
        </w:rPr>
        <w:fldChar w:fldCharType="begin"/>
      </w:r>
      <w:r w:rsidRPr="00862142">
        <w:rPr>
          <w:b/>
          <w:i/>
          <w:sz w:val="22"/>
        </w:rPr>
        <w:instrText xml:space="preserve"> SEQ Tabela \* ARABIC \s 1 </w:instrText>
      </w:r>
      <w:r w:rsidRPr="00862142">
        <w:rPr>
          <w:b/>
          <w:i/>
          <w:sz w:val="22"/>
        </w:rPr>
        <w:fldChar w:fldCharType="separate"/>
      </w:r>
      <w:r w:rsidRPr="00862142">
        <w:rPr>
          <w:b/>
          <w:i/>
          <w:noProof/>
          <w:sz w:val="22"/>
        </w:rPr>
        <w:t>3</w:t>
      </w:r>
      <w:r w:rsidRPr="00862142">
        <w:rPr>
          <w:b/>
          <w:i/>
          <w:sz w:val="22"/>
        </w:rPr>
        <w:fldChar w:fldCharType="end"/>
      </w:r>
      <w:r w:rsidRPr="00862142">
        <w:rPr>
          <w:i/>
          <w:noProof/>
          <w:sz w:val="22"/>
        </w:rPr>
        <w:t xml:space="preserve"> Miesięczne przewozy pasażerskie</w:t>
      </w:r>
      <w:bookmarkEnd w:id="29"/>
    </w:p>
    <w:p w14:paraId="5A5CB03B" w14:textId="77777777" w:rsidR="00EF21A5" w:rsidRPr="00E401F0" w:rsidRDefault="00EF21A5" w:rsidP="006C6E4E">
      <w:pPr>
        <w:pStyle w:val="Nagwek1"/>
      </w:pPr>
      <w:bookmarkStart w:id="30" w:name="_Toc178665045"/>
      <w:r w:rsidRPr="00E401F0">
        <w:t>Wyniki portów</w:t>
      </w:r>
      <w:r w:rsidR="00073E90" w:rsidRPr="00E401F0">
        <w:t xml:space="preserve"> lotniczych</w:t>
      </w:r>
      <w:bookmarkEnd w:id="30"/>
    </w:p>
    <w:p w14:paraId="30E1A9E4" w14:textId="77777777" w:rsidR="00073E90" w:rsidRPr="00E401F0" w:rsidRDefault="00073E90" w:rsidP="00073E90">
      <w:pPr>
        <w:pStyle w:val="Nagwek2"/>
      </w:pPr>
      <w:bookmarkStart w:id="31" w:name="_Toc178665046"/>
      <w:r w:rsidRPr="00E401F0">
        <w:t>Cały rynek – porównanie z ACI Europe</w:t>
      </w:r>
      <w:bookmarkEnd w:id="31"/>
    </w:p>
    <w:p w14:paraId="5C3F5D3A" w14:textId="5D7784F8"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Dynamika całego ruchu w polskich portach lotniczych </w:t>
      </w:r>
      <w:r w:rsidR="007B4A6D" w:rsidRPr="00E401F0">
        <w:rPr>
          <w:rFonts w:cstheme="minorHAnsi"/>
          <w:szCs w:val="24"/>
        </w:rPr>
        <w:t xml:space="preserve">w </w:t>
      </w:r>
      <w:r w:rsidR="001473F9">
        <w:rPr>
          <w:rFonts w:cstheme="minorHAnsi"/>
          <w:szCs w:val="24"/>
        </w:rPr>
        <w:t xml:space="preserve">pierwszej połowie </w:t>
      </w:r>
      <w:r w:rsidRPr="00E401F0">
        <w:rPr>
          <w:rFonts w:cstheme="minorHAnsi"/>
          <w:szCs w:val="24"/>
        </w:rPr>
        <w:t>202</w:t>
      </w:r>
      <w:r w:rsidR="002761E2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</w:t>
      </w:r>
      <w:r w:rsidR="00EA13B7">
        <w:rPr>
          <w:rFonts w:cstheme="minorHAnsi"/>
          <w:szCs w:val="24"/>
        </w:rPr>
        <w:t>w </w:t>
      </w:r>
      <w:r w:rsidR="001473F9">
        <w:rPr>
          <w:rFonts w:cstheme="minorHAnsi"/>
          <w:szCs w:val="24"/>
        </w:rPr>
        <w:t>porówna</w:t>
      </w:r>
      <w:r w:rsidR="002761E2">
        <w:rPr>
          <w:rFonts w:cstheme="minorHAnsi"/>
          <w:szCs w:val="24"/>
        </w:rPr>
        <w:t>niu do analogicznego okresu 2024</w:t>
      </w:r>
      <w:r w:rsidR="00073E90" w:rsidRPr="00E401F0">
        <w:rPr>
          <w:rFonts w:cstheme="minorHAnsi"/>
          <w:szCs w:val="24"/>
        </w:rPr>
        <w:t xml:space="preserve"> roku </w:t>
      </w:r>
      <w:r w:rsidRPr="00E401F0">
        <w:rPr>
          <w:rFonts w:cstheme="minorHAnsi"/>
          <w:szCs w:val="24"/>
        </w:rPr>
        <w:t>była wyższa od wyników portów 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1"/>
      </w:r>
      <w:r w:rsidRPr="00E401F0">
        <w:rPr>
          <w:rFonts w:cstheme="minorHAnsi"/>
          <w:szCs w:val="24"/>
        </w:rPr>
        <w:t xml:space="preserve"> o </w:t>
      </w:r>
      <w:r w:rsidR="00F97B6B">
        <w:rPr>
          <w:rFonts w:cstheme="minorHAnsi"/>
          <w:szCs w:val="24"/>
        </w:rPr>
        <w:t xml:space="preserve">7,3 </w:t>
      </w:r>
      <w:r w:rsidR="007919CB">
        <w:rPr>
          <w:rFonts w:cstheme="minorHAnsi"/>
          <w:szCs w:val="24"/>
        </w:rPr>
        <w:t>punktu procentowego</w:t>
      </w:r>
      <w:r w:rsidR="007919CB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i wyniosła </w:t>
      </w:r>
      <w:r w:rsidR="002761E2">
        <w:rPr>
          <w:rFonts w:cstheme="minorHAnsi"/>
          <w:szCs w:val="24"/>
        </w:rPr>
        <w:t>11,8</w:t>
      </w:r>
      <w:r w:rsidRPr="00E401F0">
        <w:rPr>
          <w:rFonts w:cstheme="minorHAnsi"/>
          <w:szCs w:val="24"/>
        </w:rPr>
        <w:t xml:space="preserve">%. </w:t>
      </w:r>
    </w:p>
    <w:p w14:paraId="05E86C44" w14:textId="77777777" w:rsidR="009477A5" w:rsidRDefault="009477A5" w:rsidP="009477A5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09BB2AF1" wp14:editId="7274E5F3">
            <wp:extent cx="3600000" cy="1922400"/>
            <wp:effectExtent l="0" t="0" r="635" b="1905"/>
            <wp:docPr id="51" name="Wykres 51" descr="Wykres porównuje łączną dynamikę ruchu w minionych kwartałach roku bieżącego i poprzedniego we wszystkich polskich portach lotniczych z europejskimi portami zrzeszonymi w ACI. Dane przedstawione w Tabeli 10.1 poniżej." title="Wykres 10.1 Dynamika całego rynk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A31B90D" w14:textId="1AE18ED7" w:rsidR="0036763E" w:rsidRPr="0036763E" w:rsidRDefault="009477A5" w:rsidP="00050164">
      <w:pPr>
        <w:pStyle w:val="Legenda"/>
        <w:rPr>
          <w:noProof/>
        </w:rPr>
      </w:pPr>
      <w:bookmarkStart w:id="32" w:name="_Toc219462789"/>
      <w:r w:rsidRPr="009477A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9477A5">
        <w:rPr>
          <w:noProof/>
        </w:rPr>
        <w:t xml:space="preserve"> </w:t>
      </w:r>
      <w:r w:rsidR="0036763E" w:rsidRPr="0036763E">
        <w:rPr>
          <w:noProof/>
        </w:rPr>
        <w:t>Dynamika całego rynku – wykres porównuje łączną dynamikę ruchu pomiędzy pierwszymi połowami lat 2025 i 2024 we wszystkich polskich portach lotniczych z dynamika europejskich portów lotniczych zrzeszonych w organizacji</w:t>
      </w:r>
      <w:r w:rsidR="0036763E" w:rsidRPr="0036763E">
        <w:rPr>
          <w:i w:val="0"/>
          <w:iCs w:val="0"/>
          <w:szCs w:val="22"/>
        </w:rPr>
        <w:t xml:space="preserve"> </w:t>
      </w:r>
      <w:r w:rsidR="0036763E" w:rsidRPr="0036763E">
        <w:rPr>
          <w:noProof/>
        </w:rPr>
        <w:t>ACI</w:t>
      </w:r>
      <w:bookmarkEnd w:id="32"/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1"/>
        <w:gridCol w:w="970"/>
      </w:tblGrid>
      <w:tr w:rsidR="0036763E" w:rsidRPr="0036763E" w14:paraId="09157C34" w14:textId="77777777" w:rsidTr="00234D3E">
        <w:trPr>
          <w:divId w:val="839196915"/>
          <w:trHeight w:val="317"/>
          <w:jc w:val="center"/>
        </w:trPr>
        <w:tc>
          <w:tcPr>
            <w:tcW w:w="0" w:type="auto"/>
            <w:tcBorders>
              <w:top w:val="single" w:sz="8" w:space="0" w:color="283772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2094F9D9" w14:textId="77777777" w:rsidR="0036763E" w:rsidRPr="0036763E" w:rsidRDefault="0036763E" w:rsidP="0036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Cały rynek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0E41B04F" w14:textId="77777777" w:rsidR="0036763E" w:rsidRPr="0036763E" w:rsidRDefault="0036763E" w:rsidP="0036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Wartość</w:t>
            </w:r>
          </w:p>
        </w:tc>
      </w:tr>
      <w:tr w:rsidR="0036763E" w:rsidRPr="0036763E" w14:paraId="732F3BF3" w14:textId="77777777" w:rsidTr="00234D3E">
        <w:trPr>
          <w:divId w:val="839196915"/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184A7E88" w14:textId="77777777" w:rsidR="0036763E" w:rsidRPr="0036763E" w:rsidRDefault="0036763E" w:rsidP="0036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Polska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7CE4DE40" w14:textId="77777777" w:rsidR="0036763E" w:rsidRPr="0036763E" w:rsidRDefault="0036763E" w:rsidP="0036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11,84%</w:t>
            </w:r>
          </w:p>
        </w:tc>
      </w:tr>
      <w:tr w:rsidR="0036763E" w:rsidRPr="0036763E" w14:paraId="410B14A6" w14:textId="77777777" w:rsidTr="00234D3E">
        <w:trPr>
          <w:divId w:val="839196915"/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761BDF79" w14:textId="77777777" w:rsidR="0036763E" w:rsidRPr="0036763E" w:rsidRDefault="0036763E" w:rsidP="0036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Porty 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26590B16" w14:textId="77777777" w:rsidR="0036763E" w:rsidRPr="0036763E" w:rsidRDefault="0036763E" w:rsidP="0036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4,50%</w:t>
            </w:r>
          </w:p>
        </w:tc>
      </w:tr>
    </w:tbl>
    <w:p w14:paraId="3A4760BB" w14:textId="07196829" w:rsidR="002761E2" w:rsidRPr="002761E2" w:rsidRDefault="00073E90" w:rsidP="00784941">
      <w:pPr>
        <w:pStyle w:val="Legenda"/>
        <w:rPr>
          <w:noProof/>
        </w:rPr>
      </w:pPr>
      <w:bookmarkStart w:id="33" w:name="_Toc216787132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całego rynku</w:t>
      </w:r>
      <w:bookmarkEnd w:id="33"/>
    </w:p>
    <w:p w14:paraId="5F56AFF6" w14:textId="77777777" w:rsidR="002910AC" w:rsidRPr="00DA4DCC" w:rsidRDefault="00C5002C" w:rsidP="005F17F2">
      <w:pPr>
        <w:pStyle w:val="Nagwek2"/>
        <w:rPr>
          <w:sz w:val="30"/>
          <w:szCs w:val="30"/>
        </w:rPr>
      </w:pPr>
      <w:r w:rsidRPr="00DA4DCC">
        <w:rPr>
          <w:sz w:val="30"/>
          <w:szCs w:val="30"/>
        </w:rPr>
        <w:t>Porty lotnicze obsługujące 10-25 mln pasażerów rocznie</w:t>
      </w:r>
    </w:p>
    <w:p w14:paraId="1BA95BE4" w14:textId="601FE74C" w:rsidR="004645D7" w:rsidRDefault="002910AC" w:rsidP="00054CCF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Porty lotnicze </w:t>
      </w:r>
      <w:r w:rsidRPr="002910AC">
        <w:rPr>
          <w:rFonts w:cstheme="minorHAnsi"/>
          <w:szCs w:val="24"/>
        </w:rPr>
        <w:t>w przedziale 10-25 mln pasażerów rocznie</w:t>
      </w:r>
      <w:r w:rsidR="00C22B04">
        <w:rPr>
          <w:rFonts w:cstheme="minorHAnsi"/>
          <w:szCs w:val="24"/>
        </w:rPr>
        <w:t xml:space="preserve"> (do tej kategorii zaliczane są</w:t>
      </w:r>
      <w:r w:rsidRPr="002910AC">
        <w:rPr>
          <w:rFonts w:cstheme="minorHAnsi"/>
          <w:szCs w:val="24"/>
        </w:rPr>
        <w:t xml:space="preserve"> </w:t>
      </w:r>
      <w:r w:rsidR="00C22B04">
        <w:rPr>
          <w:rFonts w:cstheme="minorHAnsi"/>
          <w:szCs w:val="24"/>
        </w:rPr>
        <w:t xml:space="preserve">Lotnisko Chopina w Warszawie </w:t>
      </w:r>
      <w:r w:rsidRPr="002910AC">
        <w:rPr>
          <w:rFonts w:cstheme="minorHAnsi"/>
          <w:szCs w:val="24"/>
        </w:rPr>
        <w:t xml:space="preserve">oraz Port Lotniczy Kraków-Balice) </w:t>
      </w:r>
      <w:r w:rsidR="0086115B">
        <w:rPr>
          <w:rFonts w:cstheme="minorHAnsi"/>
          <w:szCs w:val="24"/>
        </w:rPr>
        <w:t>odnotowały</w:t>
      </w:r>
      <w:r w:rsidRPr="002910AC">
        <w:rPr>
          <w:rFonts w:cstheme="minorHAnsi"/>
          <w:szCs w:val="24"/>
        </w:rPr>
        <w:t xml:space="preserve"> łącznie</w:t>
      </w:r>
      <w:r w:rsidR="006D1D9C">
        <w:rPr>
          <w:rFonts w:cstheme="minorHAnsi"/>
          <w:szCs w:val="24"/>
        </w:rPr>
        <w:t xml:space="preserve"> dynamikę </w:t>
      </w:r>
      <w:r w:rsidR="006D1D9C" w:rsidRPr="00E401F0">
        <w:rPr>
          <w:rFonts w:cstheme="minorHAnsi"/>
          <w:szCs w:val="24"/>
        </w:rPr>
        <w:t>ruchu</w:t>
      </w:r>
      <w:r w:rsidR="006D1D9C">
        <w:rPr>
          <w:rFonts w:cstheme="minorHAnsi"/>
          <w:szCs w:val="24"/>
        </w:rPr>
        <w:t xml:space="preserve"> </w:t>
      </w:r>
      <w:r w:rsidR="00816F92">
        <w:rPr>
          <w:rFonts w:cstheme="minorHAnsi"/>
          <w:szCs w:val="24"/>
        </w:rPr>
        <w:t xml:space="preserve">wyższą </w:t>
      </w:r>
      <w:r w:rsidR="0045030E">
        <w:rPr>
          <w:rFonts w:cstheme="minorHAnsi"/>
          <w:szCs w:val="24"/>
        </w:rPr>
        <w:t xml:space="preserve">o 9,7 </w:t>
      </w:r>
      <w:r w:rsidR="007919CB">
        <w:rPr>
          <w:rFonts w:cstheme="minorHAnsi"/>
          <w:szCs w:val="24"/>
        </w:rPr>
        <w:t xml:space="preserve">punktu procentowego </w:t>
      </w:r>
      <w:r w:rsidR="006D1D9C">
        <w:rPr>
          <w:rFonts w:cstheme="minorHAnsi"/>
          <w:szCs w:val="24"/>
        </w:rPr>
        <w:t>w porównaniu do</w:t>
      </w:r>
      <w:r w:rsidR="006D1D9C" w:rsidRPr="00E401F0">
        <w:rPr>
          <w:rFonts w:cstheme="minorHAnsi"/>
          <w:szCs w:val="24"/>
        </w:rPr>
        <w:t xml:space="preserve"> portów ACI Europe obsługujących podobną liczbę pasażerów</w:t>
      </w:r>
      <w:r w:rsidR="006D1D9C" w:rsidRPr="00E401F0">
        <w:rPr>
          <w:rStyle w:val="Odwoanieprzypisudolnego"/>
          <w:rFonts w:cstheme="minorHAnsi"/>
          <w:szCs w:val="24"/>
        </w:rPr>
        <w:footnoteReference w:id="2"/>
      </w:r>
      <w:r w:rsidR="006D1D9C">
        <w:rPr>
          <w:rFonts w:cstheme="minorHAnsi"/>
          <w:szCs w:val="24"/>
        </w:rPr>
        <w:t>.</w:t>
      </w:r>
      <w:r w:rsidR="0086115B">
        <w:rPr>
          <w:rFonts w:cstheme="minorHAnsi"/>
          <w:szCs w:val="24"/>
        </w:rPr>
        <w:t xml:space="preserve"> Lotnisko </w:t>
      </w:r>
      <w:r w:rsidR="00527143" w:rsidRPr="00E401F0">
        <w:rPr>
          <w:rFonts w:cstheme="minorHAnsi"/>
          <w:szCs w:val="24"/>
        </w:rPr>
        <w:t xml:space="preserve">Chopina w Warszawie w </w:t>
      </w:r>
      <w:r w:rsidR="001473F9">
        <w:rPr>
          <w:rFonts w:cstheme="minorHAnsi"/>
          <w:szCs w:val="24"/>
        </w:rPr>
        <w:t xml:space="preserve">pierwszym półroczu </w:t>
      </w:r>
      <w:r w:rsidR="0016381C" w:rsidRPr="00E401F0">
        <w:rPr>
          <w:rFonts w:cstheme="minorHAnsi"/>
          <w:szCs w:val="24"/>
        </w:rPr>
        <w:t>202</w:t>
      </w:r>
      <w:r w:rsidR="0086115B">
        <w:rPr>
          <w:rFonts w:cstheme="minorHAnsi"/>
          <w:szCs w:val="24"/>
        </w:rPr>
        <w:t>5</w:t>
      </w:r>
      <w:r w:rsidR="0016381C" w:rsidRPr="00E401F0">
        <w:rPr>
          <w:rFonts w:cstheme="minorHAnsi"/>
          <w:szCs w:val="24"/>
        </w:rPr>
        <w:t xml:space="preserve"> roku</w:t>
      </w:r>
      <w:r w:rsidR="00527143" w:rsidRPr="00E401F0">
        <w:rPr>
          <w:rFonts w:cstheme="minorHAnsi"/>
          <w:szCs w:val="24"/>
        </w:rPr>
        <w:t xml:space="preserve"> </w:t>
      </w:r>
      <w:r w:rsidR="0086115B">
        <w:rPr>
          <w:rFonts w:cstheme="minorHAnsi"/>
          <w:szCs w:val="24"/>
        </w:rPr>
        <w:t>miało wzrost</w:t>
      </w:r>
      <w:r w:rsidR="00527143" w:rsidRPr="00E401F0">
        <w:rPr>
          <w:rFonts w:cstheme="minorHAnsi"/>
          <w:szCs w:val="24"/>
        </w:rPr>
        <w:t xml:space="preserve"> ruchu pasażerskiego</w:t>
      </w:r>
      <w:r w:rsidR="009F2EF7">
        <w:rPr>
          <w:rFonts w:cstheme="minorHAnsi"/>
          <w:szCs w:val="24"/>
        </w:rPr>
        <w:t xml:space="preserve"> </w:t>
      </w:r>
      <w:r w:rsidR="0086115B">
        <w:rPr>
          <w:rFonts w:cstheme="minorHAnsi"/>
          <w:szCs w:val="24"/>
        </w:rPr>
        <w:t>rzędu</w:t>
      </w:r>
      <w:r w:rsidR="00527143" w:rsidRPr="00E401F0">
        <w:rPr>
          <w:rFonts w:cstheme="minorHAnsi"/>
          <w:szCs w:val="24"/>
        </w:rPr>
        <w:t xml:space="preserve"> </w:t>
      </w:r>
      <w:r w:rsidR="0086115B">
        <w:rPr>
          <w:rFonts w:cstheme="minorHAnsi"/>
          <w:szCs w:val="24"/>
        </w:rPr>
        <w:t>13,</w:t>
      </w:r>
      <w:r w:rsidR="0045030E">
        <w:rPr>
          <w:rFonts w:cstheme="minorHAnsi"/>
          <w:szCs w:val="24"/>
        </w:rPr>
        <w:t>2</w:t>
      </w:r>
      <w:r w:rsidR="00527143" w:rsidRPr="00E401F0">
        <w:rPr>
          <w:rFonts w:cstheme="minorHAnsi"/>
          <w:szCs w:val="24"/>
        </w:rPr>
        <w:t xml:space="preserve">% w stosunku do </w:t>
      </w:r>
      <w:r w:rsidR="001473F9">
        <w:rPr>
          <w:rFonts w:cstheme="minorHAnsi"/>
          <w:szCs w:val="24"/>
        </w:rPr>
        <w:t xml:space="preserve">analogicznego okresu </w:t>
      </w:r>
      <w:r w:rsidR="00527143" w:rsidRPr="00E401F0">
        <w:rPr>
          <w:rFonts w:cstheme="minorHAnsi"/>
          <w:szCs w:val="24"/>
        </w:rPr>
        <w:t>202</w:t>
      </w:r>
      <w:r w:rsidR="0086115B">
        <w:rPr>
          <w:rFonts w:cstheme="minorHAnsi"/>
          <w:szCs w:val="24"/>
        </w:rPr>
        <w:t>4</w:t>
      </w:r>
      <w:r w:rsidR="00527143" w:rsidRPr="00E401F0">
        <w:rPr>
          <w:rFonts w:cstheme="minorHAnsi"/>
          <w:szCs w:val="24"/>
        </w:rPr>
        <w:t xml:space="preserve"> roku</w:t>
      </w:r>
      <w:r w:rsidR="003A6E35">
        <w:rPr>
          <w:rFonts w:cstheme="minorHAnsi"/>
          <w:szCs w:val="24"/>
        </w:rPr>
        <w:t>.</w:t>
      </w:r>
      <w:r w:rsidR="00527143" w:rsidRPr="00E401F0">
        <w:rPr>
          <w:rFonts w:cstheme="minorHAnsi"/>
          <w:szCs w:val="24"/>
        </w:rPr>
        <w:t xml:space="preserve"> </w:t>
      </w:r>
      <w:r w:rsidR="0086115B">
        <w:rPr>
          <w:rFonts w:cstheme="minorHAnsi"/>
          <w:szCs w:val="24"/>
        </w:rPr>
        <w:t xml:space="preserve">W samym drugim kwartale był to </w:t>
      </w:r>
      <w:r w:rsidR="00EA13B7">
        <w:rPr>
          <w:rFonts w:cstheme="minorHAnsi"/>
          <w:szCs w:val="24"/>
        </w:rPr>
        <w:t>wzrost o </w:t>
      </w:r>
      <w:r w:rsidR="006D1D9C">
        <w:rPr>
          <w:rFonts w:cstheme="minorHAnsi"/>
          <w:szCs w:val="24"/>
        </w:rPr>
        <w:t>13,</w:t>
      </w:r>
      <w:r w:rsidR="0045030E">
        <w:rPr>
          <w:rFonts w:cstheme="minorHAnsi"/>
          <w:szCs w:val="24"/>
        </w:rPr>
        <w:t>8</w:t>
      </w:r>
      <w:r w:rsidR="00527143" w:rsidRPr="00E401F0">
        <w:rPr>
          <w:rFonts w:cstheme="minorHAnsi"/>
          <w:szCs w:val="24"/>
        </w:rPr>
        <w:t>%.</w:t>
      </w:r>
      <w:r w:rsidR="006C2E45">
        <w:rPr>
          <w:rFonts w:cstheme="minorHAnsi"/>
          <w:szCs w:val="24"/>
        </w:rPr>
        <w:t xml:space="preserve"> Wspomniane wzrosty na warszawskim lotnisku dotyczyły obu rodzajów przewozów.</w:t>
      </w:r>
      <w:r w:rsidR="003E70F6">
        <w:rPr>
          <w:rFonts w:cstheme="minorHAnsi"/>
          <w:szCs w:val="24"/>
        </w:rPr>
        <w:t xml:space="preserve"> </w:t>
      </w:r>
      <w:r w:rsidR="004645D7">
        <w:rPr>
          <w:rFonts w:cstheme="minorHAnsi"/>
          <w:szCs w:val="24"/>
        </w:rPr>
        <w:t>W całym półroczu 2025 r</w:t>
      </w:r>
      <w:r w:rsidR="007B5C38">
        <w:rPr>
          <w:rFonts w:cstheme="minorHAnsi"/>
          <w:szCs w:val="24"/>
        </w:rPr>
        <w:t>oku</w:t>
      </w:r>
      <w:r w:rsidR="004645D7">
        <w:rPr>
          <w:rFonts w:cstheme="minorHAnsi"/>
          <w:szCs w:val="24"/>
        </w:rPr>
        <w:t xml:space="preserve"> w r</w:t>
      </w:r>
      <w:r w:rsidR="004645D7" w:rsidRPr="00E401F0">
        <w:rPr>
          <w:rFonts w:cstheme="minorHAnsi"/>
          <w:szCs w:val="24"/>
        </w:rPr>
        <w:t>uch</w:t>
      </w:r>
      <w:r w:rsidR="004645D7">
        <w:rPr>
          <w:rFonts w:cstheme="minorHAnsi"/>
          <w:szCs w:val="24"/>
        </w:rPr>
        <w:t>u</w:t>
      </w:r>
      <w:r w:rsidR="004645D7" w:rsidRPr="00E401F0">
        <w:rPr>
          <w:rFonts w:cstheme="minorHAnsi"/>
          <w:szCs w:val="24"/>
        </w:rPr>
        <w:t xml:space="preserve"> regularny</w:t>
      </w:r>
      <w:r w:rsidR="004645D7">
        <w:rPr>
          <w:rFonts w:cstheme="minorHAnsi"/>
          <w:szCs w:val="24"/>
        </w:rPr>
        <w:t xml:space="preserve">m przewieziono o 1,1 mln pasażerów więcej niż w </w:t>
      </w:r>
      <w:r w:rsidR="004645D7" w:rsidRPr="00E401F0">
        <w:rPr>
          <w:rFonts w:cstheme="minorHAnsi"/>
          <w:szCs w:val="24"/>
        </w:rPr>
        <w:t>analogi</w:t>
      </w:r>
      <w:r w:rsidR="004645D7">
        <w:rPr>
          <w:rFonts w:cstheme="minorHAnsi"/>
          <w:szCs w:val="24"/>
        </w:rPr>
        <w:t>cznym</w:t>
      </w:r>
      <w:r w:rsidR="004645D7" w:rsidRPr="00E401F0">
        <w:rPr>
          <w:rFonts w:cstheme="minorHAnsi"/>
          <w:szCs w:val="24"/>
        </w:rPr>
        <w:t xml:space="preserve"> o</w:t>
      </w:r>
      <w:r w:rsidR="004645D7">
        <w:rPr>
          <w:rFonts w:cstheme="minorHAnsi"/>
          <w:szCs w:val="24"/>
        </w:rPr>
        <w:t>kresie 2024 roku. W samym drugim kwartale</w:t>
      </w:r>
      <w:r w:rsidR="003E70F6">
        <w:rPr>
          <w:rFonts w:cstheme="minorHAnsi"/>
          <w:szCs w:val="24"/>
        </w:rPr>
        <w:t xml:space="preserve"> </w:t>
      </w:r>
      <w:r w:rsidR="004645D7">
        <w:rPr>
          <w:rFonts w:cstheme="minorHAnsi"/>
          <w:szCs w:val="24"/>
        </w:rPr>
        <w:t>było to +646 tys. podróżujących.</w:t>
      </w:r>
      <w:r w:rsidR="004645D7" w:rsidRPr="00E401F0">
        <w:rPr>
          <w:rFonts w:cstheme="minorHAnsi"/>
          <w:szCs w:val="24"/>
        </w:rPr>
        <w:t xml:space="preserve"> </w:t>
      </w:r>
      <w:r w:rsidR="004645D7">
        <w:rPr>
          <w:rFonts w:cstheme="minorHAnsi"/>
          <w:szCs w:val="24"/>
        </w:rPr>
        <w:t>W przypadku r</w:t>
      </w:r>
      <w:r w:rsidR="004645D7" w:rsidRPr="00E401F0">
        <w:rPr>
          <w:rFonts w:cstheme="minorHAnsi"/>
          <w:szCs w:val="24"/>
        </w:rPr>
        <w:t>uch</w:t>
      </w:r>
      <w:r w:rsidR="004645D7">
        <w:rPr>
          <w:rFonts w:cstheme="minorHAnsi"/>
          <w:szCs w:val="24"/>
        </w:rPr>
        <w:t>u</w:t>
      </w:r>
      <w:r w:rsidR="004645D7" w:rsidRPr="00E401F0">
        <w:rPr>
          <w:rFonts w:cstheme="minorHAnsi"/>
          <w:szCs w:val="24"/>
        </w:rPr>
        <w:t xml:space="preserve"> </w:t>
      </w:r>
      <w:r w:rsidR="004645D7">
        <w:rPr>
          <w:rFonts w:cstheme="minorHAnsi"/>
          <w:szCs w:val="24"/>
        </w:rPr>
        <w:t xml:space="preserve">czarterowego </w:t>
      </w:r>
      <w:r w:rsidR="00DA4DCC">
        <w:rPr>
          <w:rFonts w:cstheme="minorHAnsi"/>
          <w:szCs w:val="24"/>
        </w:rPr>
        <w:t>odnotowano wzrost</w:t>
      </w:r>
      <w:r w:rsidR="004645D7" w:rsidRPr="00E401F0">
        <w:rPr>
          <w:rFonts w:cstheme="minorHAnsi"/>
          <w:szCs w:val="24"/>
        </w:rPr>
        <w:t xml:space="preserve"> o </w:t>
      </w:r>
      <w:r w:rsidR="004645D7">
        <w:rPr>
          <w:rFonts w:cstheme="minorHAnsi"/>
          <w:szCs w:val="24"/>
        </w:rPr>
        <w:t>167,</w:t>
      </w:r>
      <w:r w:rsidR="00744D64">
        <w:rPr>
          <w:rFonts w:cstheme="minorHAnsi"/>
          <w:szCs w:val="24"/>
        </w:rPr>
        <w:t xml:space="preserve">2 </w:t>
      </w:r>
      <w:r w:rsidR="004645D7">
        <w:rPr>
          <w:rFonts w:cstheme="minorHAnsi"/>
          <w:szCs w:val="24"/>
        </w:rPr>
        <w:t>tys.</w:t>
      </w:r>
      <w:r w:rsidR="004645D7" w:rsidRPr="00E401F0">
        <w:rPr>
          <w:rFonts w:cstheme="minorHAnsi"/>
          <w:szCs w:val="24"/>
        </w:rPr>
        <w:t xml:space="preserve"> </w:t>
      </w:r>
      <w:r w:rsidR="004645D7">
        <w:rPr>
          <w:rFonts w:cstheme="minorHAnsi"/>
          <w:szCs w:val="24"/>
        </w:rPr>
        <w:t xml:space="preserve">pasażerów </w:t>
      </w:r>
      <w:r w:rsidR="004645D7" w:rsidRPr="00E401F0">
        <w:rPr>
          <w:rFonts w:cstheme="minorHAnsi"/>
          <w:szCs w:val="24"/>
        </w:rPr>
        <w:t xml:space="preserve">w </w:t>
      </w:r>
      <w:r w:rsidR="004645D7">
        <w:rPr>
          <w:rFonts w:cstheme="minorHAnsi"/>
          <w:szCs w:val="24"/>
        </w:rPr>
        <w:t xml:space="preserve">całym półroczu </w:t>
      </w:r>
      <w:r w:rsidR="004645D7" w:rsidRPr="00E401F0">
        <w:rPr>
          <w:rFonts w:cstheme="minorHAnsi"/>
          <w:szCs w:val="24"/>
        </w:rPr>
        <w:t xml:space="preserve">i o </w:t>
      </w:r>
      <w:r w:rsidR="00744D64">
        <w:rPr>
          <w:rFonts w:cstheme="minorHAnsi"/>
          <w:szCs w:val="24"/>
        </w:rPr>
        <w:t>102</w:t>
      </w:r>
      <w:r w:rsidR="004645D7">
        <w:rPr>
          <w:rFonts w:cstheme="minorHAnsi"/>
          <w:szCs w:val="24"/>
        </w:rPr>
        <w:t xml:space="preserve"> tys. </w:t>
      </w:r>
      <w:r w:rsidR="004645D7" w:rsidRPr="00E401F0">
        <w:rPr>
          <w:rFonts w:cstheme="minorHAnsi"/>
          <w:szCs w:val="24"/>
        </w:rPr>
        <w:t xml:space="preserve">w </w:t>
      </w:r>
      <w:r w:rsidR="004645D7">
        <w:rPr>
          <w:rFonts w:cstheme="minorHAnsi"/>
          <w:szCs w:val="24"/>
        </w:rPr>
        <w:t>drugim</w:t>
      </w:r>
      <w:r w:rsidR="004645D7" w:rsidRPr="00E401F0">
        <w:rPr>
          <w:rFonts w:cstheme="minorHAnsi"/>
          <w:szCs w:val="24"/>
        </w:rPr>
        <w:t xml:space="preserve"> kwartale</w:t>
      </w:r>
      <w:r w:rsidR="004645D7">
        <w:rPr>
          <w:rFonts w:cstheme="minorHAnsi"/>
          <w:szCs w:val="24"/>
        </w:rPr>
        <w:t>.</w:t>
      </w:r>
    </w:p>
    <w:p w14:paraId="4B370668" w14:textId="1E9F4284" w:rsidR="002910AC" w:rsidRDefault="00527143" w:rsidP="00054CCF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Przewoźni</w:t>
      </w:r>
      <w:r w:rsidR="009F2EF7">
        <w:rPr>
          <w:rFonts w:cstheme="minorHAnsi"/>
          <w:szCs w:val="24"/>
        </w:rPr>
        <w:t xml:space="preserve">cy sieciowi </w:t>
      </w:r>
      <w:r w:rsidR="00EC3202">
        <w:rPr>
          <w:rFonts w:cstheme="minorHAnsi"/>
          <w:szCs w:val="24"/>
        </w:rPr>
        <w:t xml:space="preserve">przewieźli </w:t>
      </w:r>
      <w:r w:rsidR="00510A67">
        <w:rPr>
          <w:rFonts w:cstheme="minorHAnsi"/>
          <w:szCs w:val="24"/>
        </w:rPr>
        <w:t>w pierwszej połowie 2025 r</w:t>
      </w:r>
      <w:r w:rsidR="007B5C38">
        <w:rPr>
          <w:rFonts w:cstheme="minorHAnsi"/>
          <w:szCs w:val="24"/>
        </w:rPr>
        <w:t>oku</w:t>
      </w:r>
      <w:r w:rsidR="00510A67">
        <w:rPr>
          <w:rFonts w:cstheme="minorHAnsi"/>
          <w:szCs w:val="24"/>
        </w:rPr>
        <w:t xml:space="preserve"> </w:t>
      </w:r>
      <w:r w:rsidR="00EC3202">
        <w:rPr>
          <w:rFonts w:cstheme="minorHAnsi"/>
          <w:szCs w:val="24"/>
        </w:rPr>
        <w:t>na tym lotnisku ponad 677 tys. pasażerów więcej niż w analogicznym okresie 2024 r</w:t>
      </w:r>
      <w:r w:rsidR="007B5C38">
        <w:rPr>
          <w:rFonts w:cstheme="minorHAnsi"/>
          <w:szCs w:val="24"/>
        </w:rPr>
        <w:t>oku</w:t>
      </w:r>
      <w:r w:rsidR="00510A67">
        <w:rPr>
          <w:rFonts w:cstheme="minorHAnsi"/>
          <w:szCs w:val="24"/>
        </w:rPr>
        <w:t xml:space="preserve"> </w:t>
      </w:r>
      <w:r w:rsidR="00510A67" w:rsidRPr="00924827">
        <w:rPr>
          <w:rFonts w:cstheme="minorHAnsi"/>
          <w:szCs w:val="24"/>
        </w:rPr>
        <w:t xml:space="preserve">(+384 tys. w samym drugim kwartale). </w:t>
      </w:r>
      <w:r w:rsidR="000D2BDB" w:rsidRPr="00924827">
        <w:rPr>
          <w:rFonts w:cstheme="minorHAnsi"/>
          <w:szCs w:val="24"/>
        </w:rPr>
        <w:t>W odniesieniu do</w:t>
      </w:r>
      <w:r w:rsidR="0038794E" w:rsidRPr="00924827">
        <w:rPr>
          <w:rFonts w:cstheme="minorHAnsi"/>
          <w:szCs w:val="24"/>
        </w:rPr>
        <w:t xml:space="preserve"> przewoźników niskokosztowych</w:t>
      </w:r>
      <w:r w:rsidR="000D2BDB" w:rsidRPr="00924827">
        <w:rPr>
          <w:rFonts w:cstheme="minorHAnsi"/>
          <w:szCs w:val="24"/>
        </w:rPr>
        <w:t xml:space="preserve"> </w:t>
      </w:r>
      <w:r w:rsidR="0038794E" w:rsidRPr="00924827">
        <w:rPr>
          <w:rFonts w:cstheme="minorHAnsi"/>
          <w:szCs w:val="24"/>
        </w:rPr>
        <w:t xml:space="preserve">w całym półroczu było </w:t>
      </w:r>
      <w:r w:rsidR="000D2BDB" w:rsidRPr="00924827">
        <w:rPr>
          <w:rFonts w:cstheme="minorHAnsi"/>
          <w:szCs w:val="24"/>
        </w:rPr>
        <w:t xml:space="preserve">to </w:t>
      </w:r>
      <w:r w:rsidR="0038794E" w:rsidRPr="00924827">
        <w:rPr>
          <w:rFonts w:cstheme="minorHAnsi"/>
          <w:szCs w:val="24"/>
        </w:rPr>
        <w:t xml:space="preserve">ponad </w:t>
      </w:r>
      <w:r w:rsidR="00D011FB" w:rsidRPr="00924827">
        <w:rPr>
          <w:rFonts w:cstheme="minorHAnsi"/>
          <w:szCs w:val="24"/>
        </w:rPr>
        <w:t>544</w:t>
      </w:r>
      <w:r w:rsidR="000D2BDB" w:rsidRPr="00924827">
        <w:rPr>
          <w:rFonts w:cstheme="minorHAnsi"/>
          <w:szCs w:val="24"/>
        </w:rPr>
        <w:t xml:space="preserve"> tys.</w:t>
      </w:r>
      <w:r w:rsidR="0038794E" w:rsidRPr="00924827">
        <w:rPr>
          <w:rFonts w:cstheme="minorHAnsi"/>
          <w:szCs w:val="24"/>
        </w:rPr>
        <w:t xml:space="preserve"> pasażerów więcej</w:t>
      </w:r>
      <w:r w:rsidR="00D011FB" w:rsidRPr="00924827">
        <w:rPr>
          <w:rFonts w:cstheme="minorHAnsi"/>
          <w:szCs w:val="24"/>
        </w:rPr>
        <w:t xml:space="preserve">, a </w:t>
      </w:r>
      <w:r w:rsidR="00510A67" w:rsidRPr="00924827">
        <w:rPr>
          <w:rFonts w:cstheme="minorHAnsi"/>
          <w:szCs w:val="24"/>
        </w:rPr>
        <w:t>w drugim kwartale</w:t>
      </w:r>
      <w:r w:rsidR="00D011FB" w:rsidRPr="00924827">
        <w:rPr>
          <w:rFonts w:cstheme="minorHAnsi"/>
          <w:szCs w:val="24"/>
        </w:rPr>
        <w:t xml:space="preserve"> 349 tys.</w:t>
      </w:r>
      <w:r w:rsidR="00510A67" w:rsidRPr="00924827">
        <w:rPr>
          <w:rFonts w:cstheme="minorHAnsi"/>
          <w:szCs w:val="24"/>
        </w:rPr>
        <w:t xml:space="preserve"> W przypadku przewoźników</w:t>
      </w:r>
      <w:r w:rsidRPr="00924827">
        <w:rPr>
          <w:rFonts w:cstheme="minorHAnsi"/>
          <w:szCs w:val="24"/>
        </w:rPr>
        <w:t xml:space="preserve"> czarterowych </w:t>
      </w:r>
      <w:r w:rsidR="00D011FB" w:rsidRPr="00924827">
        <w:rPr>
          <w:rFonts w:cstheme="minorHAnsi"/>
          <w:szCs w:val="24"/>
        </w:rPr>
        <w:t xml:space="preserve">było to </w:t>
      </w:r>
      <w:r w:rsidRPr="00924827">
        <w:rPr>
          <w:rFonts w:cstheme="minorHAnsi"/>
          <w:szCs w:val="24"/>
        </w:rPr>
        <w:t>odpowiednio +</w:t>
      </w:r>
      <w:r w:rsidR="00236A92" w:rsidRPr="00924827">
        <w:rPr>
          <w:rFonts w:cstheme="minorHAnsi"/>
          <w:szCs w:val="24"/>
        </w:rPr>
        <w:t>61 tys. oraz +</w:t>
      </w:r>
      <w:r w:rsidR="00B90ADB" w:rsidRPr="00924827">
        <w:rPr>
          <w:rFonts w:cstheme="minorHAnsi"/>
          <w:szCs w:val="24"/>
        </w:rPr>
        <w:t>1</w:t>
      </w:r>
      <w:r w:rsidR="00B90ADB">
        <w:rPr>
          <w:rFonts w:cstheme="minorHAnsi"/>
          <w:szCs w:val="24"/>
        </w:rPr>
        <w:t>5</w:t>
      </w:r>
      <w:r w:rsidR="00B90ADB" w:rsidRPr="00924827">
        <w:rPr>
          <w:rFonts w:cstheme="minorHAnsi"/>
          <w:szCs w:val="24"/>
        </w:rPr>
        <w:t xml:space="preserve"> </w:t>
      </w:r>
      <w:r w:rsidR="00236A92" w:rsidRPr="00924827">
        <w:rPr>
          <w:rFonts w:cstheme="minorHAnsi"/>
          <w:szCs w:val="24"/>
        </w:rPr>
        <w:t>tys</w:t>
      </w:r>
      <w:r w:rsidR="00236A92">
        <w:rPr>
          <w:rFonts w:cstheme="minorHAnsi"/>
          <w:szCs w:val="24"/>
        </w:rPr>
        <w:t>.</w:t>
      </w:r>
      <w:r w:rsidRPr="00E401F0">
        <w:rPr>
          <w:rFonts w:cstheme="minorHAnsi"/>
          <w:szCs w:val="24"/>
        </w:rPr>
        <w:t xml:space="preserve"> Najwięcej pasażerów na warszawskim lotnisku </w:t>
      </w:r>
      <w:r w:rsidR="009F2EF7">
        <w:rPr>
          <w:rFonts w:cstheme="minorHAnsi"/>
          <w:szCs w:val="24"/>
        </w:rPr>
        <w:t>w </w:t>
      </w:r>
      <w:r w:rsidR="00F57210">
        <w:rPr>
          <w:rFonts w:cstheme="minorHAnsi"/>
          <w:szCs w:val="24"/>
        </w:rPr>
        <w:t xml:space="preserve">pierwszej części </w:t>
      </w:r>
      <w:r w:rsidR="009F2EF7">
        <w:rPr>
          <w:rFonts w:cstheme="minorHAnsi"/>
          <w:szCs w:val="24"/>
        </w:rPr>
        <w:t>202</w:t>
      </w:r>
      <w:r w:rsidR="00DA4DCC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przewiózł PLL LOT, a następnie Wizz Air i Enter Air</w:t>
      </w:r>
      <w:r w:rsidR="0018787F">
        <w:rPr>
          <w:rFonts w:cstheme="minorHAnsi"/>
          <w:szCs w:val="24"/>
        </w:rPr>
        <w:t xml:space="preserve"> (w drugim kwartale było podobnie)</w:t>
      </w:r>
      <w:r w:rsidRPr="00E401F0">
        <w:rPr>
          <w:rFonts w:cstheme="minorHAnsi"/>
          <w:szCs w:val="24"/>
        </w:rPr>
        <w:t>.</w:t>
      </w:r>
    </w:p>
    <w:p w14:paraId="18FD8FB0" w14:textId="088CAC1A" w:rsidR="004645D7" w:rsidRDefault="00B90ADB" w:rsidP="00924827">
      <w:pPr>
        <w:rPr>
          <w:rFonts w:cstheme="minorHAnsi"/>
          <w:szCs w:val="24"/>
        </w:rPr>
      </w:pPr>
      <w:r>
        <w:rPr>
          <w:rFonts w:cstheme="minorHAnsi"/>
          <w:szCs w:val="24"/>
        </w:rPr>
        <w:t>L</w:t>
      </w:r>
      <w:r w:rsidR="00D011FB">
        <w:rPr>
          <w:rFonts w:cstheme="minorHAnsi"/>
          <w:szCs w:val="24"/>
        </w:rPr>
        <w:t>otnisko Kraków</w:t>
      </w:r>
      <w:r w:rsidR="007846ED">
        <w:rPr>
          <w:rFonts w:cstheme="minorHAnsi"/>
          <w:szCs w:val="24"/>
        </w:rPr>
        <w:t>-</w:t>
      </w:r>
      <w:r w:rsidR="00D011FB">
        <w:rPr>
          <w:rFonts w:cstheme="minorHAnsi"/>
          <w:szCs w:val="24"/>
        </w:rPr>
        <w:t>Balice</w:t>
      </w:r>
      <w:r w:rsidR="00924827">
        <w:rPr>
          <w:rFonts w:cstheme="minorHAnsi"/>
          <w:szCs w:val="24"/>
        </w:rPr>
        <w:t xml:space="preserve"> </w:t>
      </w:r>
      <w:r w:rsidR="00924827" w:rsidRPr="00E401F0">
        <w:rPr>
          <w:rFonts w:cstheme="minorHAnsi"/>
          <w:szCs w:val="24"/>
        </w:rPr>
        <w:t xml:space="preserve">w </w:t>
      </w:r>
      <w:r w:rsidR="00924827">
        <w:rPr>
          <w:rFonts w:cstheme="minorHAnsi"/>
          <w:szCs w:val="24"/>
        </w:rPr>
        <w:t xml:space="preserve">pierwszym półroczu </w:t>
      </w:r>
      <w:r w:rsidR="00924827" w:rsidRPr="00E401F0">
        <w:rPr>
          <w:rFonts w:cstheme="minorHAnsi"/>
          <w:szCs w:val="24"/>
        </w:rPr>
        <w:t>202</w:t>
      </w:r>
      <w:r w:rsidR="00924827">
        <w:rPr>
          <w:rFonts w:cstheme="minorHAnsi"/>
          <w:szCs w:val="24"/>
        </w:rPr>
        <w:t>5</w:t>
      </w:r>
      <w:r w:rsidR="00924827" w:rsidRPr="00E401F0">
        <w:rPr>
          <w:rFonts w:cstheme="minorHAnsi"/>
          <w:szCs w:val="24"/>
        </w:rPr>
        <w:t xml:space="preserve"> roku </w:t>
      </w:r>
      <w:r w:rsidR="00924827">
        <w:rPr>
          <w:rFonts w:cstheme="minorHAnsi"/>
          <w:szCs w:val="24"/>
        </w:rPr>
        <w:t xml:space="preserve">obsłużyło </w:t>
      </w:r>
      <w:r w:rsidR="004F03EB">
        <w:rPr>
          <w:rFonts w:cstheme="minorHAnsi"/>
          <w:szCs w:val="24"/>
        </w:rPr>
        <w:t>6</w:t>
      </w:r>
      <w:r>
        <w:rPr>
          <w:rFonts w:cstheme="minorHAnsi"/>
          <w:szCs w:val="24"/>
        </w:rPr>
        <w:t>,1</w:t>
      </w:r>
      <w:r w:rsidR="004F03EB">
        <w:rPr>
          <w:rFonts w:cstheme="minorHAnsi"/>
          <w:szCs w:val="24"/>
        </w:rPr>
        <w:t xml:space="preserve"> mln pasażerów, co dało finalnie </w:t>
      </w:r>
      <w:r>
        <w:rPr>
          <w:rFonts w:cstheme="minorHAnsi"/>
          <w:szCs w:val="24"/>
        </w:rPr>
        <w:t>18,7</w:t>
      </w:r>
      <w:r w:rsidR="004F03EB">
        <w:rPr>
          <w:rFonts w:cstheme="minorHAnsi"/>
          <w:szCs w:val="24"/>
        </w:rPr>
        <w:t xml:space="preserve">% </w:t>
      </w:r>
      <w:r w:rsidR="00924827">
        <w:rPr>
          <w:rFonts w:cstheme="minorHAnsi"/>
          <w:szCs w:val="24"/>
        </w:rPr>
        <w:t>wzrost</w:t>
      </w:r>
      <w:r w:rsidR="00FC1E70">
        <w:rPr>
          <w:rFonts w:cstheme="minorHAnsi"/>
          <w:szCs w:val="24"/>
        </w:rPr>
        <w:t>u</w:t>
      </w:r>
      <w:r w:rsidR="00924827" w:rsidRPr="00E401F0">
        <w:rPr>
          <w:rFonts w:cstheme="minorHAnsi"/>
          <w:szCs w:val="24"/>
        </w:rPr>
        <w:t xml:space="preserve"> ruchu pasażerskiego</w:t>
      </w:r>
      <w:r w:rsidR="00924827">
        <w:rPr>
          <w:rFonts w:cstheme="minorHAnsi"/>
          <w:szCs w:val="24"/>
        </w:rPr>
        <w:t xml:space="preserve"> </w:t>
      </w:r>
      <w:r w:rsidR="00924827" w:rsidRPr="00E401F0">
        <w:rPr>
          <w:rFonts w:cstheme="minorHAnsi"/>
          <w:szCs w:val="24"/>
        </w:rPr>
        <w:t xml:space="preserve">w stosunku do </w:t>
      </w:r>
      <w:r w:rsidR="00924827">
        <w:rPr>
          <w:rFonts w:cstheme="minorHAnsi"/>
          <w:szCs w:val="24"/>
        </w:rPr>
        <w:t xml:space="preserve">analogicznego okresu </w:t>
      </w:r>
      <w:r w:rsidR="00924827" w:rsidRPr="00E401F0">
        <w:rPr>
          <w:rFonts w:cstheme="minorHAnsi"/>
          <w:szCs w:val="24"/>
        </w:rPr>
        <w:t>202</w:t>
      </w:r>
      <w:r w:rsidR="00924827">
        <w:rPr>
          <w:rFonts w:cstheme="minorHAnsi"/>
          <w:szCs w:val="24"/>
        </w:rPr>
        <w:t>4</w:t>
      </w:r>
      <w:r w:rsidR="00924827" w:rsidRPr="00E401F0">
        <w:rPr>
          <w:rFonts w:cstheme="minorHAnsi"/>
          <w:szCs w:val="24"/>
        </w:rPr>
        <w:t xml:space="preserve"> </w:t>
      </w:r>
      <w:r w:rsidR="00924827" w:rsidRPr="00E401F0">
        <w:rPr>
          <w:rFonts w:cstheme="minorHAnsi"/>
          <w:szCs w:val="24"/>
        </w:rPr>
        <w:lastRenderedPageBreak/>
        <w:t>roku</w:t>
      </w:r>
      <w:r w:rsidR="00924827">
        <w:rPr>
          <w:rFonts w:cstheme="minorHAnsi"/>
          <w:szCs w:val="24"/>
        </w:rPr>
        <w:t>.</w:t>
      </w:r>
      <w:r w:rsidR="00924827" w:rsidRPr="00E401F0">
        <w:rPr>
          <w:rFonts w:cstheme="minorHAnsi"/>
          <w:szCs w:val="24"/>
        </w:rPr>
        <w:t xml:space="preserve"> </w:t>
      </w:r>
      <w:r w:rsidR="00924827">
        <w:rPr>
          <w:rFonts w:cstheme="minorHAnsi"/>
          <w:szCs w:val="24"/>
        </w:rPr>
        <w:t>W samym drugim kwartale był to wzrost o </w:t>
      </w:r>
      <w:r w:rsidR="004F03EB">
        <w:rPr>
          <w:rFonts w:cstheme="minorHAnsi"/>
          <w:szCs w:val="24"/>
        </w:rPr>
        <w:t>16,4</w:t>
      </w:r>
      <w:r w:rsidR="00924827" w:rsidRPr="00E401F0">
        <w:rPr>
          <w:rFonts w:cstheme="minorHAnsi"/>
          <w:szCs w:val="24"/>
        </w:rPr>
        <w:t>%</w:t>
      </w:r>
      <w:r w:rsidR="004F03EB">
        <w:rPr>
          <w:rFonts w:cstheme="minorHAnsi"/>
          <w:szCs w:val="24"/>
        </w:rPr>
        <w:t xml:space="preserve"> (obsłużono 3,4 mln pasażerów)</w:t>
      </w:r>
      <w:r w:rsidR="00924827" w:rsidRPr="00E401F0">
        <w:rPr>
          <w:rFonts w:cstheme="minorHAnsi"/>
          <w:szCs w:val="24"/>
        </w:rPr>
        <w:t>.</w:t>
      </w:r>
      <w:r w:rsidR="00924827">
        <w:rPr>
          <w:rFonts w:cstheme="minorHAnsi"/>
          <w:szCs w:val="24"/>
        </w:rPr>
        <w:t xml:space="preserve"> Wspomniane wzrosty na </w:t>
      </w:r>
      <w:r w:rsidR="004F03EB">
        <w:rPr>
          <w:rFonts w:cstheme="minorHAnsi"/>
          <w:szCs w:val="24"/>
        </w:rPr>
        <w:t>krakowskim</w:t>
      </w:r>
      <w:r w:rsidR="00924827">
        <w:rPr>
          <w:rFonts w:cstheme="minorHAnsi"/>
          <w:szCs w:val="24"/>
        </w:rPr>
        <w:t xml:space="preserve"> lotnisku dotyczyły obu rodzajów przewozów.</w:t>
      </w:r>
      <w:r w:rsidR="003E70F6">
        <w:rPr>
          <w:rFonts w:cstheme="minorHAnsi"/>
          <w:szCs w:val="24"/>
        </w:rPr>
        <w:t xml:space="preserve"> </w:t>
      </w:r>
      <w:r w:rsidR="00EB337C">
        <w:rPr>
          <w:rFonts w:cstheme="minorHAnsi"/>
          <w:szCs w:val="24"/>
        </w:rPr>
        <w:t xml:space="preserve">W całym </w:t>
      </w:r>
      <w:r w:rsidR="006622DB">
        <w:rPr>
          <w:rFonts w:cstheme="minorHAnsi"/>
          <w:szCs w:val="24"/>
        </w:rPr>
        <w:t xml:space="preserve">pierwszym </w:t>
      </w:r>
      <w:r w:rsidR="00EB337C">
        <w:rPr>
          <w:rFonts w:cstheme="minorHAnsi"/>
          <w:szCs w:val="24"/>
        </w:rPr>
        <w:t>półroczu 2025 r</w:t>
      </w:r>
      <w:r w:rsidR="007B5C38">
        <w:rPr>
          <w:rFonts w:cstheme="minorHAnsi"/>
          <w:szCs w:val="24"/>
        </w:rPr>
        <w:t>oku</w:t>
      </w:r>
      <w:r w:rsidR="00EB337C">
        <w:rPr>
          <w:rFonts w:cstheme="minorHAnsi"/>
          <w:szCs w:val="24"/>
        </w:rPr>
        <w:t xml:space="preserve"> w r</w:t>
      </w:r>
      <w:r w:rsidR="00924827" w:rsidRPr="00E401F0">
        <w:rPr>
          <w:rFonts w:cstheme="minorHAnsi"/>
          <w:szCs w:val="24"/>
        </w:rPr>
        <w:t>uch</w:t>
      </w:r>
      <w:r w:rsidR="00EB337C">
        <w:rPr>
          <w:rFonts w:cstheme="minorHAnsi"/>
          <w:szCs w:val="24"/>
        </w:rPr>
        <w:t>u</w:t>
      </w:r>
      <w:r w:rsidR="00924827" w:rsidRPr="00E401F0">
        <w:rPr>
          <w:rFonts w:cstheme="minorHAnsi"/>
          <w:szCs w:val="24"/>
        </w:rPr>
        <w:t xml:space="preserve"> regularny</w:t>
      </w:r>
      <w:r w:rsidR="00EB337C">
        <w:rPr>
          <w:rFonts w:cstheme="minorHAnsi"/>
          <w:szCs w:val="24"/>
        </w:rPr>
        <w:t xml:space="preserve">m przewieziono o 939,4 tys. pasażerów więcej niż w </w:t>
      </w:r>
      <w:r w:rsidR="00EB337C" w:rsidRPr="00E401F0">
        <w:rPr>
          <w:rFonts w:cstheme="minorHAnsi"/>
          <w:szCs w:val="24"/>
        </w:rPr>
        <w:t>analogi</w:t>
      </w:r>
      <w:r w:rsidR="00EB337C">
        <w:rPr>
          <w:rFonts w:cstheme="minorHAnsi"/>
          <w:szCs w:val="24"/>
        </w:rPr>
        <w:t>cznym</w:t>
      </w:r>
      <w:r w:rsidR="00EB337C" w:rsidRPr="00E401F0">
        <w:rPr>
          <w:rFonts w:cstheme="minorHAnsi"/>
          <w:szCs w:val="24"/>
        </w:rPr>
        <w:t xml:space="preserve"> o</w:t>
      </w:r>
      <w:r w:rsidR="004645D7">
        <w:rPr>
          <w:rFonts w:cstheme="minorHAnsi"/>
          <w:szCs w:val="24"/>
        </w:rPr>
        <w:t xml:space="preserve">kresie 2024 roku. W samym </w:t>
      </w:r>
      <w:r w:rsidR="00EB337C">
        <w:rPr>
          <w:rFonts w:cstheme="minorHAnsi"/>
          <w:szCs w:val="24"/>
        </w:rPr>
        <w:t>drugim kwartale</w:t>
      </w:r>
      <w:r w:rsidR="003E70F6">
        <w:rPr>
          <w:rFonts w:cstheme="minorHAnsi"/>
          <w:szCs w:val="24"/>
        </w:rPr>
        <w:t xml:space="preserve"> </w:t>
      </w:r>
      <w:r w:rsidR="00EB337C">
        <w:rPr>
          <w:rFonts w:cstheme="minorHAnsi"/>
          <w:szCs w:val="24"/>
        </w:rPr>
        <w:t xml:space="preserve">było to </w:t>
      </w:r>
      <w:r w:rsidR="00904780">
        <w:rPr>
          <w:rFonts w:cstheme="minorHAnsi"/>
          <w:szCs w:val="24"/>
        </w:rPr>
        <w:t>+</w:t>
      </w:r>
      <w:r w:rsidR="00EB337C">
        <w:rPr>
          <w:rFonts w:cstheme="minorHAnsi"/>
          <w:szCs w:val="24"/>
        </w:rPr>
        <w:t>4</w:t>
      </w:r>
      <w:r w:rsidR="006622DB">
        <w:rPr>
          <w:rFonts w:cstheme="minorHAnsi"/>
          <w:szCs w:val="24"/>
        </w:rPr>
        <w:t>7</w:t>
      </w:r>
      <w:r w:rsidR="00EB337C">
        <w:rPr>
          <w:rFonts w:cstheme="minorHAnsi"/>
          <w:szCs w:val="24"/>
        </w:rPr>
        <w:t>1,9 tys. podróżujących.</w:t>
      </w:r>
      <w:r w:rsidR="00924827" w:rsidRPr="00E401F0">
        <w:rPr>
          <w:rFonts w:cstheme="minorHAnsi"/>
          <w:szCs w:val="24"/>
        </w:rPr>
        <w:t xml:space="preserve"> </w:t>
      </w:r>
      <w:r w:rsidR="00924827">
        <w:rPr>
          <w:rFonts w:cstheme="minorHAnsi"/>
          <w:szCs w:val="24"/>
        </w:rPr>
        <w:t>W przypadku r</w:t>
      </w:r>
      <w:r w:rsidR="00924827" w:rsidRPr="00E401F0">
        <w:rPr>
          <w:rFonts w:cstheme="minorHAnsi"/>
          <w:szCs w:val="24"/>
        </w:rPr>
        <w:t>uch</w:t>
      </w:r>
      <w:r w:rsidR="00924827">
        <w:rPr>
          <w:rFonts w:cstheme="minorHAnsi"/>
          <w:szCs w:val="24"/>
        </w:rPr>
        <w:t>u</w:t>
      </w:r>
      <w:r w:rsidR="00924827" w:rsidRPr="00E401F0">
        <w:rPr>
          <w:rFonts w:cstheme="minorHAnsi"/>
          <w:szCs w:val="24"/>
        </w:rPr>
        <w:t xml:space="preserve"> </w:t>
      </w:r>
      <w:r w:rsidR="00924827">
        <w:rPr>
          <w:rFonts w:cstheme="minorHAnsi"/>
          <w:szCs w:val="24"/>
        </w:rPr>
        <w:t xml:space="preserve">czarterowego </w:t>
      </w:r>
      <w:r w:rsidR="00904780">
        <w:rPr>
          <w:rFonts w:cstheme="minorHAnsi"/>
          <w:szCs w:val="24"/>
        </w:rPr>
        <w:t>doszło do</w:t>
      </w:r>
      <w:r w:rsidR="00924827">
        <w:rPr>
          <w:rFonts w:cstheme="minorHAnsi"/>
          <w:szCs w:val="24"/>
        </w:rPr>
        <w:t xml:space="preserve"> </w:t>
      </w:r>
      <w:r w:rsidR="00924827" w:rsidRPr="00E401F0">
        <w:rPr>
          <w:rFonts w:cstheme="minorHAnsi"/>
          <w:szCs w:val="24"/>
        </w:rPr>
        <w:t>wzrost</w:t>
      </w:r>
      <w:r w:rsidR="00904780">
        <w:rPr>
          <w:rFonts w:cstheme="minorHAnsi"/>
          <w:szCs w:val="24"/>
        </w:rPr>
        <w:t>u</w:t>
      </w:r>
      <w:r w:rsidR="00924827" w:rsidRPr="00E401F0">
        <w:rPr>
          <w:rFonts w:cstheme="minorHAnsi"/>
          <w:szCs w:val="24"/>
        </w:rPr>
        <w:t xml:space="preserve"> o </w:t>
      </w:r>
      <w:r w:rsidR="00EB337C">
        <w:rPr>
          <w:rFonts w:cstheme="minorHAnsi"/>
          <w:szCs w:val="24"/>
        </w:rPr>
        <w:t>13,</w:t>
      </w:r>
      <w:r w:rsidR="006622DB">
        <w:rPr>
          <w:rFonts w:cstheme="minorHAnsi"/>
          <w:szCs w:val="24"/>
        </w:rPr>
        <w:t xml:space="preserve">9 </w:t>
      </w:r>
      <w:r w:rsidR="00EB337C">
        <w:rPr>
          <w:rFonts w:cstheme="minorHAnsi"/>
          <w:szCs w:val="24"/>
        </w:rPr>
        <w:t>tys.</w:t>
      </w:r>
      <w:r w:rsidR="00924827" w:rsidRPr="00E401F0">
        <w:rPr>
          <w:rFonts w:cstheme="minorHAnsi"/>
          <w:szCs w:val="24"/>
        </w:rPr>
        <w:t xml:space="preserve"> </w:t>
      </w:r>
      <w:r w:rsidR="00EB337C">
        <w:rPr>
          <w:rFonts w:cstheme="minorHAnsi"/>
          <w:szCs w:val="24"/>
        </w:rPr>
        <w:t xml:space="preserve">pasażerów </w:t>
      </w:r>
      <w:r w:rsidR="00924827" w:rsidRPr="00E401F0">
        <w:rPr>
          <w:rFonts w:cstheme="minorHAnsi"/>
          <w:szCs w:val="24"/>
        </w:rPr>
        <w:t xml:space="preserve">w </w:t>
      </w:r>
      <w:r w:rsidR="00EB337C">
        <w:rPr>
          <w:rFonts w:cstheme="minorHAnsi"/>
          <w:szCs w:val="24"/>
        </w:rPr>
        <w:t xml:space="preserve">całym </w:t>
      </w:r>
      <w:r w:rsidR="00924827">
        <w:rPr>
          <w:rFonts w:cstheme="minorHAnsi"/>
          <w:szCs w:val="24"/>
        </w:rPr>
        <w:t>półroczu</w:t>
      </w:r>
      <w:r w:rsidR="00EB337C">
        <w:rPr>
          <w:rFonts w:cstheme="minorHAnsi"/>
          <w:szCs w:val="24"/>
        </w:rPr>
        <w:t xml:space="preserve"> </w:t>
      </w:r>
      <w:r w:rsidR="00924827" w:rsidRPr="00E401F0">
        <w:rPr>
          <w:rFonts w:cstheme="minorHAnsi"/>
          <w:szCs w:val="24"/>
        </w:rPr>
        <w:t xml:space="preserve">i o </w:t>
      </w:r>
      <w:r w:rsidR="006622DB">
        <w:rPr>
          <w:rFonts w:cstheme="minorHAnsi"/>
          <w:szCs w:val="24"/>
        </w:rPr>
        <w:t xml:space="preserve">8 </w:t>
      </w:r>
      <w:r w:rsidR="00EB337C">
        <w:rPr>
          <w:rFonts w:cstheme="minorHAnsi"/>
          <w:szCs w:val="24"/>
        </w:rPr>
        <w:t xml:space="preserve">tys. </w:t>
      </w:r>
      <w:r w:rsidR="00924827" w:rsidRPr="00E401F0">
        <w:rPr>
          <w:rFonts w:cstheme="minorHAnsi"/>
          <w:szCs w:val="24"/>
        </w:rPr>
        <w:t xml:space="preserve">w </w:t>
      </w:r>
      <w:r w:rsidR="00924827">
        <w:rPr>
          <w:rFonts w:cstheme="minorHAnsi"/>
          <w:szCs w:val="24"/>
        </w:rPr>
        <w:t>drugim</w:t>
      </w:r>
      <w:r w:rsidR="00924827" w:rsidRPr="00E401F0">
        <w:rPr>
          <w:rFonts w:cstheme="minorHAnsi"/>
          <w:szCs w:val="24"/>
        </w:rPr>
        <w:t xml:space="preserve"> kwartale</w:t>
      </w:r>
      <w:r w:rsidR="004645D7">
        <w:rPr>
          <w:rFonts w:cstheme="minorHAnsi"/>
          <w:szCs w:val="24"/>
        </w:rPr>
        <w:t>.</w:t>
      </w:r>
    </w:p>
    <w:p w14:paraId="527E067D" w14:textId="4D5BA637" w:rsidR="00924827" w:rsidRDefault="00924827" w:rsidP="00924827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Przewoźni</w:t>
      </w:r>
      <w:r>
        <w:rPr>
          <w:rFonts w:cstheme="minorHAnsi"/>
          <w:szCs w:val="24"/>
        </w:rPr>
        <w:t xml:space="preserve">cy sieciowi </w:t>
      </w:r>
      <w:r w:rsidR="00904780">
        <w:rPr>
          <w:rFonts w:cstheme="minorHAnsi"/>
          <w:szCs w:val="24"/>
        </w:rPr>
        <w:t>przewieźli</w:t>
      </w:r>
      <w:r w:rsidR="00EB337C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w pierwszej połowie 2025 r</w:t>
      </w:r>
      <w:r w:rsidR="007B5C38">
        <w:rPr>
          <w:rFonts w:cstheme="minorHAnsi"/>
          <w:szCs w:val="24"/>
        </w:rPr>
        <w:t>oku</w:t>
      </w:r>
      <w:r>
        <w:rPr>
          <w:rFonts w:cstheme="minorHAnsi"/>
          <w:szCs w:val="24"/>
        </w:rPr>
        <w:t xml:space="preserve"> </w:t>
      </w:r>
      <w:r w:rsidR="002C4A89">
        <w:rPr>
          <w:rFonts w:cstheme="minorHAnsi"/>
          <w:szCs w:val="24"/>
        </w:rPr>
        <w:t>względem analogicznego okresu 2024 r</w:t>
      </w:r>
      <w:r w:rsidR="007B5C38">
        <w:rPr>
          <w:rFonts w:cstheme="minorHAnsi"/>
          <w:szCs w:val="24"/>
        </w:rPr>
        <w:t>oku</w:t>
      </w:r>
      <w:r w:rsidR="002C4A89">
        <w:rPr>
          <w:rFonts w:cstheme="minorHAnsi"/>
          <w:szCs w:val="24"/>
        </w:rPr>
        <w:t xml:space="preserve"> o </w:t>
      </w:r>
      <w:r w:rsidR="00904780">
        <w:rPr>
          <w:rFonts w:cstheme="minorHAnsi"/>
          <w:szCs w:val="24"/>
        </w:rPr>
        <w:t>182,7 tys. pasażerów więcej, a</w:t>
      </w:r>
      <w:r w:rsidR="007846ED">
        <w:rPr>
          <w:rFonts w:cstheme="minorHAnsi"/>
          <w:szCs w:val="24"/>
        </w:rPr>
        <w:t xml:space="preserve"> w samym drugim kwartale</w:t>
      </w:r>
      <w:r w:rsidR="00904780">
        <w:rPr>
          <w:rFonts w:cstheme="minorHAnsi"/>
          <w:szCs w:val="24"/>
        </w:rPr>
        <w:t xml:space="preserve"> +87,</w:t>
      </w:r>
      <w:r w:rsidR="006622DB">
        <w:rPr>
          <w:rFonts w:cstheme="minorHAnsi"/>
          <w:szCs w:val="24"/>
        </w:rPr>
        <w:t xml:space="preserve">8 </w:t>
      </w:r>
      <w:r w:rsidR="00904780">
        <w:rPr>
          <w:rFonts w:cstheme="minorHAnsi"/>
          <w:szCs w:val="24"/>
        </w:rPr>
        <w:t>tys</w:t>
      </w:r>
      <w:r w:rsidRPr="00924827">
        <w:rPr>
          <w:rFonts w:cstheme="minorHAnsi"/>
          <w:szCs w:val="24"/>
        </w:rPr>
        <w:t xml:space="preserve">. W odniesieniu do przewoźników niskokosztowych </w:t>
      </w:r>
      <w:r w:rsidR="007846ED">
        <w:rPr>
          <w:rFonts w:cstheme="minorHAnsi"/>
          <w:szCs w:val="24"/>
        </w:rPr>
        <w:t xml:space="preserve">było to odpowiednio </w:t>
      </w:r>
      <w:r w:rsidR="00904780">
        <w:rPr>
          <w:rFonts w:cstheme="minorHAnsi"/>
          <w:szCs w:val="24"/>
        </w:rPr>
        <w:t>+757,6 tys.</w:t>
      </w:r>
      <w:r w:rsidR="007846ED">
        <w:rPr>
          <w:rFonts w:cstheme="minorHAnsi"/>
          <w:szCs w:val="24"/>
        </w:rPr>
        <w:t xml:space="preserve"> i </w:t>
      </w:r>
      <w:r w:rsidR="00904780">
        <w:rPr>
          <w:rFonts w:cstheme="minorHAnsi"/>
          <w:szCs w:val="24"/>
        </w:rPr>
        <w:t>+384,1 tys.</w:t>
      </w:r>
      <w:r w:rsidR="007846ED">
        <w:rPr>
          <w:rFonts w:cstheme="minorHAnsi"/>
          <w:szCs w:val="24"/>
        </w:rPr>
        <w:t xml:space="preserve"> a w</w:t>
      </w:r>
      <w:r w:rsidRPr="00924827">
        <w:rPr>
          <w:rFonts w:cstheme="minorHAnsi"/>
          <w:szCs w:val="24"/>
        </w:rPr>
        <w:t xml:space="preserve"> przypadku przewoźników czarterowych </w:t>
      </w:r>
      <w:r w:rsidR="00904780">
        <w:rPr>
          <w:rFonts w:cstheme="minorHAnsi"/>
          <w:szCs w:val="24"/>
        </w:rPr>
        <w:t>+</w:t>
      </w:r>
      <w:r w:rsidR="006622DB">
        <w:rPr>
          <w:rFonts w:cstheme="minorHAnsi"/>
          <w:szCs w:val="24"/>
        </w:rPr>
        <w:t>3</w:t>
      </w:r>
      <w:r w:rsidR="00904780">
        <w:rPr>
          <w:rFonts w:cstheme="minorHAnsi"/>
          <w:szCs w:val="24"/>
        </w:rPr>
        <w:t xml:space="preserve"> tys. </w:t>
      </w:r>
      <w:r w:rsidRPr="00924827">
        <w:rPr>
          <w:rFonts w:cstheme="minorHAnsi"/>
          <w:szCs w:val="24"/>
        </w:rPr>
        <w:t>o</w:t>
      </w:r>
      <w:r>
        <w:rPr>
          <w:rFonts w:cstheme="minorHAnsi"/>
          <w:szCs w:val="24"/>
        </w:rPr>
        <w:t xml:space="preserve">raz </w:t>
      </w:r>
      <w:r w:rsidR="006622DB">
        <w:rPr>
          <w:rFonts w:cstheme="minorHAnsi"/>
          <w:szCs w:val="24"/>
        </w:rPr>
        <w:t>8</w:t>
      </w:r>
      <w:r w:rsidR="00904780">
        <w:rPr>
          <w:rFonts w:cstheme="minorHAnsi"/>
          <w:szCs w:val="24"/>
        </w:rPr>
        <w:t xml:space="preserve"> tys.</w:t>
      </w:r>
      <w:r w:rsidRPr="00924827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Najwięcej pasażerów na </w:t>
      </w:r>
      <w:r w:rsidR="007846ED">
        <w:rPr>
          <w:rFonts w:cstheme="minorHAnsi"/>
          <w:szCs w:val="24"/>
        </w:rPr>
        <w:t>krakowskim</w:t>
      </w:r>
      <w:r w:rsidRPr="00E401F0">
        <w:rPr>
          <w:rFonts w:cstheme="minorHAnsi"/>
          <w:szCs w:val="24"/>
        </w:rPr>
        <w:t xml:space="preserve"> lotnisku </w:t>
      </w:r>
      <w:r>
        <w:rPr>
          <w:rFonts w:cstheme="minorHAnsi"/>
          <w:szCs w:val="24"/>
        </w:rPr>
        <w:t>w pierwszej części 202</w:t>
      </w:r>
      <w:r w:rsidR="007846ED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przewiózł </w:t>
      </w:r>
      <w:r w:rsidR="007846ED">
        <w:rPr>
          <w:rFonts w:cstheme="minorHAnsi"/>
          <w:szCs w:val="24"/>
        </w:rPr>
        <w:t>Ryanair,</w:t>
      </w:r>
      <w:r w:rsidRPr="00E401F0">
        <w:rPr>
          <w:rFonts w:cstheme="minorHAnsi"/>
          <w:szCs w:val="24"/>
        </w:rPr>
        <w:t xml:space="preserve"> a następnie Wizz Air i </w:t>
      </w:r>
      <w:r w:rsidR="007846ED">
        <w:rPr>
          <w:rFonts w:cstheme="minorHAnsi"/>
          <w:szCs w:val="24"/>
        </w:rPr>
        <w:t xml:space="preserve">EasyJet. W drugim kwartale był to także </w:t>
      </w:r>
      <w:r w:rsidR="0018787F">
        <w:rPr>
          <w:rFonts w:cstheme="minorHAnsi"/>
          <w:szCs w:val="24"/>
        </w:rPr>
        <w:t xml:space="preserve">Ryanair, a następnie Wizz Air oraz </w:t>
      </w:r>
      <w:r w:rsidR="006622DB">
        <w:rPr>
          <w:rFonts w:cstheme="minorHAnsi"/>
          <w:szCs w:val="24"/>
        </w:rPr>
        <w:t>Lufthansa</w:t>
      </w:r>
      <w:r w:rsidR="0018787F">
        <w:rPr>
          <w:rFonts w:cstheme="minorHAnsi"/>
          <w:szCs w:val="24"/>
        </w:rPr>
        <w:t>.</w:t>
      </w:r>
    </w:p>
    <w:p w14:paraId="5D4AC7D6" w14:textId="77777777" w:rsidR="006622DB" w:rsidRDefault="006622DB" w:rsidP="006622DB">
      <w:pPr>
        <w:jc w:val="center"/>
        <w:rPr>
          <w:b/>
        </w:rPr>
      </w:pPr>
      <w:r>
        <w:rPr>
          <w:noProof/>
          <w:lang w:eastAsia="pl-PL"/>
        </w:rPr>
        <w:drawing>
          <wp:inline distT="0" distB="0" distL="0" distR="0" wp14:anchorId="412FE0DD" wp14:editId="555771CB">
            <wp:extent cx="3599815" cy="1922145"/>
            <wp:effectExtent l="0" t="0" r="635" b="1905"/>
            <wp:docPr id="7" name="Wykres 7" descr="Wykres porównuje dynamikę ruchu na Lotnisku Chopina w Warszawie z porównywalnymi portami zrzeszonymi w ACI (porty o ruchu w przedziale 10-25 mln pasażerów rocznie) w minionych kwartałach roku bieżącego i poprzedniego. Dane przedstawione w Tabeli 10.2 poniżej." title="Wykres 10. 2 Dynamika WAW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C507BE0" w14:textId="08486B58" w:rsidR="0036763E" w:rsidRDefault="009477A5" w:rsidP="006622DB">
      <w:pPr>
        <w:jc w:val="center"/>
        <w:rPr>
          <w:i/>
          <w:iCs/>
        </w:rPr>
      </w:pPr>
      <w:bookmarkStart w:id="34" w:name="_Toc219462790"/>
      <w:r w:rsidRPr="002610D2">
        <w:rPr>
          <w:b/>
          <w:i/>
          <w:sz w:val="22"/>
        </w:rPr>
        <w:t xml:space="preserve">Wykres </w:t>
      </w:r>
      <w:r w:rsidR="00F27BCD" w:rsidRPr="002610D2">
        <w:rPr>
          <w:b/>
          <w:i/>
          <w:sz w:val="22"/>
        </w:rPr>
        <w:fldChar w:fldCharType="begin"/>
      </w:r>
      <w:r w:rsidR="00F27BCD" w:rsidRPr="002610D2">
        <w:rPr>
          <w:b/>
          <w:i/>
          <w:sz w:val="22"/>
        </w:rPr>
        <w:instrText xml:space="preserve"> STYLEREF 1 \s </w:instrText>
      </w:r>
      <w:r w:rsidR="00F27BCD" w:rsidRPr="002610D2">
        <w:rPr>
          <w:b/>
          <w:i/>
          <w:sz w:val="22"/>
        </w:rPr>
        <w:fldChar w:fldCharType="separate"/>
      </w:r>
      <w:r w:rsidR="00F27BCD" w:rsidRPr="002610D2">
        <w:rPr>
          <w:b/>
          <w:i/>
          <w:noProof/>
          <w:sz w:val="22"/>
        </w:rPr>
        <w:t>10</w:t>
      </w:r>
      <w:r w:rsidR="00F27BCD" w:rsidRPr="002610D2">
        <w:rPr>
          <w:b/>
          <w:i/>
          <w:sz w:val="22"/>
        </w:rPr>
        <w:fldChar w:fldCharType="end"/>
      </w:r>
      <w:r w:rsidR="00F27BCD" w:rsidRPr="002610D2">
        <w:rPr>
          <w:b/>
          <w:i/>
          <w:sz w:val="22"/>
        </w:rPr>
        <w:t>.</w:t>
      </w:r>
      <w:r w:rsidR="00F27BCD" w:rsidRPr="002610D2">
        <w:rPr>
          <w:b/>
          <w:i/>
          <w:sz w:val="22"/>
        </w:rPr>
        <w:fldChar w:fldCharType="begin"/>
      </w:r>
      <w:r w:rsidR="00F27BCD" w:rsidRPr="002610D2">
        <w:rPr>
          <w:b/>
          <w:i/>
          <w:sz w:val="22"/>
        </w:rPr>
        <w:instrText xml:space="preserve"> SEQ Wykres \* ARABIC \s 1 </w:instrText>
      </w:r>
      <w:r w:rsidR="00F27BCD" w:rsidRPr="002610D2">
        <w:rPr>
          <w:b/>
          <w:i/>
          <w:sz w:val="22"/>
        </w:rPr>
        <w:fldChar w:fldCharType="separate"/>
      </w:r>
      <w:r w:rsidR="00F27BCD" w:rsidRPr="002610D2">
        <w:rPr>
          <w:b/>
          <w:i/>
          <w:noProof/>
          <w:sz w:val="22"/>
        </w:rPr>
        <w:t>2</w:t>
      </w:r>
      <w:r w:rsidR="00F27BCD" w:rsidRPr="002610D2">
        <w:rPr>
          <w:b/>
          <w:i/>
          <w:sz w:val="22"/>
        </w:rPr>
        <w:fldChar w:fldCharType="end"/>
      </w:r>
      <w:r w:rsidRPr="002610D2">
        <w:rPr>
          <w:i/>
          <w:noProof/>
          <w:sz w:val="22"/>
        </w:rPr>
        <w:t>.</w:t>
      </w:r>
      <w:r w:rsidR="005F17F2">
        <w:rPr>
          <w:noProof/>
        </w:rPr>
        <w:t xml:space="preserve"> </w:t>
      </w:r>
      <w:r w:rsidR="0036763E" w:rsidRPr="0036763E">
        <w:rPr>
          <w:i/>
          <w:iCs/>
          <w:sz w:val="22"/>
          <w:szCs w:val="18"/>
        </w:rPr>
        <w:t>Dynamika WAW i KRK – wykres porównuje dynamikę ruchu na Lotnisku Chopina w Warszawie i Kraków-Balice z porównywalnymi portami zrzeszonymi w ACI (porty o ruchu w przedziale 10-25 mln pasażerów rocznie) w pierwszej połowie 2025 i 2024</w:t>
      </w:r>
      <w:r w:rsidR="0036763E" w:rsidRPr="0036763E">
        <w:rPr>
          <w:rFonts w:cstheme="minorHAnsi"/>
          <w:szCs w:val="24"/>
        </w:rPr>
        <w:t xml:space="preserve"> </w:t>
      </w:r>
      <w:r w:rsidR="0036763E" w:rsidRPr="0036763E">
        <w:rPr>
          <w:i/>
          <w:iCs/>
          <w:sz w:val="22"/>
          <w:szCs w:val="18"/>
        </w:rPr>
        <w:t>roku</w:t>
      </w:r>
      <w:bookmarkEnd w:id="34"/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1"/>
        <w:gridCol w:w="970"/>
      </w:tblGrid>
      <w:tr w:rsidR="0036763E" w:rsidRPr="0036763E" w14:paraId="55C4F2A4" w14:textId="77777777" w:rsidTr="00234D3E">
        <w:trPr>
          <w:divId w:val="116144439"/>
          <w:trHeight w:val="317"/>
          <w:jc w:val="center"/>
        </w:trPr>
        <w:tc>
          <w:tcPr>
            <w:tcW w:w="0" w:type="auto"/>
            <w:tcBorders>
              <w:top w:val="single" w:sz="8" w:space="0" w:color="283772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26AD08AF" w14:textId="77777777" w:rsidR="0036763E" w:rsidRPr="0036763E" w:rsidRDefault="0036763E" w:rsidP="0078494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Porty 10-25 mln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5732DFEA" w14:textId="77777777" w:rsidR="0036763E" w:rsidRPr="0036763E" w:rsidRDefault="0036763E" w:rsidP="0036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Wartość</w:t>
            </w:r>
          </w:p>
        </w:tc>
      </w:tr>
      <w:tr w:rsidR="0036763E" w:rsidRPr="0036763E" w14:paraId="65C675E3" w14:textId="77777777" w:rsidTr="00234D3E">
        <w:trPr>
          <w:divId w:val="116144439"/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7F9D6739" w14:textId="77777777" w:rsidR="0036763E" w:rsidRPr="0036763E" w:rsidRDefault="0036763E" w:rsidP="0036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Polska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548DFA41" w14:textId="77777777" w:rsidR="0036763E" w:rsidRPr="0036763E" w:rsidRDefault="0036763E" w:rsidP="0036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15,08%</w:t>
            </w:r>
          </w:p>
        </w:tc>
      </w:tr>
      <w:tr w:rsidR="0036763E" w:rsidRPr="0036763E" w14:paraId="5387EC86" w14:textId="77777777" w:rsidTr="00234D3E">
        <w:trPr>
          <w:divId w:val="116144439"/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09A58359" w14:textId="77777777" w:rsidR="0036763E" w:rsidRPr="0036763E" w:rsidRDefault="0036763E" w:rsidP="0036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Porty 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2DACA6CE" w14:textId="77777777" w:rsidR="0036763E" w:rsidRPr="0036763E" w:rsidRDefault="0036763E" w:rsidP="0036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5,40%</w:t>
            </w:r>
          </w:p>
        </w:tc>
      </w:tr>
    </w:tbl>
    <w:p w14:paraId="5EA427DD" w14:textId="07E6525D" w:rsidR="000A6B86" w:rsidRPr="000A6B86" w:rsidRDefault="00924AFC" w:rsidP="00234D3E">
      <w:pPr>
        <w:pStyle w:val="Legenda"/>
      </w:pPr>
      <w:bookmarkStart w:id="35" w:name="_Toc216787133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WAW</w:t>
      </w:r>
      <w:bookmarkEnd w:id="35"/>
    </w:p>
    <w:p w14:paraId="5A9A2E36" w14:textId="77777777" w:rsidR="00073E90" w:rsidRPr="00DA4DCC" w:rsidRDefault="00A2095D" w:rsidP="00073E90">
      <w:pPr>
        <w:pStyle w:val="Nagwek2"/>
        <w:rPr>
          <w:sz w:val="30"/>
          <w:szCs w:val="30"/>
        </w:rPr>
      </w:pPr>
      <w:bookmarkStart w:id="36" w:name="_Toc170379363"/>
      <w:bookmarkStart w:id="37" w:name="_Toc178665048"/>
      <w:r w:rsidRPr="00DA4DCC">
        <w:rPr>
          <w:sz w:val="30"/>
          <w:szCs w:val="30"/>
        </w:rPr>
        <w:t>Porty lotnicze obsługujące 1-10 mln pasażerów rocznie</w:t>
      </w:r>
      <w:bookmarkEnd w:id="36"/>
      <w:bookmarkEnd w:id="37"/>
    </w:p>
    <w:p w14:paraId="67EBC128" w14:textId="3011B56E" w:rsidR="00175B4C" w:rsidRPr="00E401F0" w:rsidRDefault="00175B4C" w:rsidP="00175B4C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P</w:t>
      </w:r>
      <w:r>
        <w:rPr>
          <w:rFonts w:cstheme="minorHAnsi"/>
          <w:szCs w:val="24"/>
        </w:rPr>
        <w:t>orty regionalne w przedziale 1-10</w:t>
      </w:r>
      <w:r w:rsidRPr="00E401F0">
        <w:rPr>
          <w:rFonts w:cstheme="minorHAnsi"/>
          <w:szCs w:val="24"/>
        </w:rPr>
        <w:t xml:space="preserve"> mln pasażerów rocznie łącznie miały wynik lepszy od porównywalnych portów ACI Europe</w:t>
      </w:r>
      <w:r w:rsidRPr="00E401F0">
        <w:rPr>
          <w:rStyle w:val="Odwoanieprzypisudolnego"/>
          <w:rFonts w:cstheme="minorHAnsi"/>
          <w:szCs w:val="24"/>
        </w:rPr>
        <w:footnoteReference w:id="3"/>
      </w:r>
      <w:r w:rsidRPr="00E401F0">
        <w:rPr>
          <w:rFonts w:cstheme="minorHAnsi"/>
          <w:szCs w:val="24"/>
        </w:rPr>
        <w:t xml:space="preserve"> o </w:t>
      </w:r>
      <w:r w:rsidR="008D2EF0">
        <w:rPr>
          <w:rFonts w:cstheme="minorHAnsi"/>
          <w:szCs w:val="24"/>
        </w:rPr>
        <w:t>2,5</w:t>
      </w:r>
      <w:r w:rsidRPr="00E401F0">
        <w:rPr>
          <w:rFonts w:cstheme="minorHAnsi"/>
          <w:szCs w:val="24"/>
        </w:rPr>
        <w:t xml:space="preserve"> </w:t>
      </w:r>
      <w:r w:rsidR="007E37E0">
        <w:rPr>
          <w:rFonts w:cstheme="minorHAnsi"/>
          <w:szCs w:val="24"/>
        </w:rPr>
        <w:t>punktu procentowego.</w:t>
      </w:r>
      <w:r w:rsidR="006622DB">
        <w:rPr>
          <w:rFonts w:cstheme="minorHAnsi"/>
          <w:szCs w:val="24"/>
        </w:rPr>
        <w:t xml:space="preserve"> </w:t>
      </w:r>
      <w:r w:rsidR="006622DB" w:rsidRPr="006622DB">
        <w:rPr>
          <w:rFonts w:cstheme="minorHAnsi"/>
          <w:szCs w:val="24"/>
        </w:rPr>
        <w:t>Do tej kategorii zaliczane są w 2025 roku porty lotnicze: Gdańsk im. Lecha Wałęsy, Katowice-Pyrzowice, Wrocław-Strachowice, Poznań-Ławica, Warszawa-Modlin oraz Rzeszów-Jasionka.</w:t>
      </w:r>
    </w:p>
    <w:p w14:paraId="5A5DF8D1" w14:textId="0FE016F7" w:rsidR="007E37E0" w:rsidRDefault="00175B4C" w:rsidP="00175B4C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portach </w:t>
      </w:r>
      <w:r w:rsidR="007E37E0">
        <w:rPr>
          <w:rFonts w:cstheme="minorHAnsi"/>
          <w:szCs w:val="24"/>
        </w:rPr>
        <w:t>lotniczych</w:t>
      </w:r>
      <w:r w:rsidRPr="00E401F0">
        <w:rPr>
          <w:rFonts w:cstheme="minorHAnsi"/>
          <w:szCs w:val="24"/>
        </w:rPr>
        <w:t xml:space="preserve"> tej wielkości w </w:t>
      </w:r>
      <w:r w:rsidR="007E37E0">
        <w:rPr>
          <w:rFonts w:cstheme="minorHAnsi"/>
          <w:szCs w:val="24"/>
        </w:rPr>
        <w:t>pierwszej</w:t>
      </w:r>
      <w:r w:rsidRPr="00E401F0">
        <w:rPr>
          <w:rFonts w:cstheme="minorHAnsi"/>
          <w:szCs w:val="24"/>
        </w:rPr>
        <w:t xml:space="preserve"> </w:t>
      </w:r>
      <w:r w:rsidR="007E37E0">
        <w:rPr>
          <w:rFonts w:cstheme="minorHAnsi"/>
          <w:szCs w:val="24"/>
        </w:rPr>
        <w:t>połowie</w:t>
      </w:r>
      <w:r w:rsidRPr="00E401F0">
        <w:rPr>
          <w:rFonts w:cstheme="minorHAnsi"/>
          <w:szCs w:val="24"/>
        </w:rPr>
        <w:t xml:space="preserve"> 202</w:t>
      </w:r>
      <w:r w:rsidR="008D2EF0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najwięcej pasażerów obsłużyli przewoźnicy Ry</w:t>
      </w:r>
      <w:r w:rsidR="008D2EF0">
        <w:rPr>
          <w:rFonts w:cstheme="minorHAnsi"/>
          <w:szCs w:val="24"/>
        </w:rPr>
        <w:t>anair i Wizz Air. Łącznie oba</w:t>
      </w:r>
      <w:r w:rsidRPr="00E401F0">
        <w:rPr>
          <w:rFonts w:cstheme="minorHAnsi"/>
          <w:szCs w:val="24"/>
        </w:rPr>
        <w:t>j przewoźnicy niskokosztowi mieli w</w:t>
      </w:r>
      <w:r w:rsidR="00EA13B7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>omawianym okresie</w:t>
      </w:r>
      <w:r w:rsidRPr="00E401F0">
        <w:rPr>
          <w:rFonts w:cstheme="minorHAnsi"/>
          <w:szCs w:val="24"/>
        </w:rPr>
        <w:t xml:space="preserve"> udział w rynku w </w:t>
      </w:r>
      <w:r>
        <w:rPr>
          <w:rFonts w:cstheme="minorHAnsi"/>
          <w:szCs w:val="24"/>
        </w:rPr>
        <w:t>dużych portach regionalnych w </w:t>
      </w:r>
      <w:r w:rsidRPr="00E401F0">
        <w:rPr>
          <w:rFonts w:cstheme="minorHAnsi"/>
          <w:szCs w:val="24"/>
        </w:rPr>
        <w:t xml:space="preserve">wysokości </w:t>
      </w:r>
      <w:r w:rsidR="006622DB">
        <w:rPr>
          <w:rFonts w:cstheme="minorHAnsi"/>
          <w:szCs w:val="24"/>
        </w:rPr>
        <w:t>64,8</w:t>
      </w:r>
      <w:r w:rsidR="00EA13B7">
        <w:rPr>
          <w:rFonts w:cstheme="minorHAnsi"/>
          <w:szCs w:val="24"/>
        </w:rPr>
        <w:t xml:space="preserve">%, </w:t>
      </w:r>
      <w:r w:rsidR="007C6E41">
        <w:rPr>
          <w:rFonts w:cstheme="minorHAnsi"/>
          <w:szCs w:val="24"/>
        </w:rPr>
        <w:lastRenderedPageBreak/>
        <w:t xml:space="preserve">czyli </w:t>
      </w:r>
      <w:r w:rsidRPr="00E401F0">
        <w:rPr>
          <w:rFonts w:cstheme="minorHAnsi"/>
          <w:szCs w:val="24"/>
        </w:rPr>
        <w:t xml:space="preserve">o </w:t>
      </w:r>
      <w:r w:rsidR="006622DB">
        <w:rPr>
          <w:rFonts w:cstheme="minorHAnsi"/>
          <w:szCs w:val="24"/>
        </w:rPr>
        <w:t>2</w:t>
      </w:r>
      <w:r w:rsidR="006622DB" w:rsidRPr="00E401F0">
        <w:rPr>
          <w:rFonts w:cstheme="minorHAnsi"/>
          <w:szCs w:val="24"/>
        </w:rPr>
        <w:t xml:space="preserve"> </w:t>
      </w:r>
      <w:r w:rsidR="006E0364">
        <w:rPr>
          <w:rFonts w:cstheme="minorHAnsi"/>
          <w:szCs w:val="24"/>
        </w:rPr>
        <w:t>punkt</w:t>
      </w:r>
      <w:r w:rsidR="006622DB">
        <w:rPr>
          <w:rFonts w:cstheme="minorHAnsi"/>
          <w:szCs w:val="24"/>
        </w:rPr>
        <w:t>y</w:t>
      </w:r>
      <w:r w:rsidR="006E0364">
        <w:rPr>
          <w:rFonts w:cstheme="minorHAnsi"/>
          <w:szCs w:val="24"/>
        </w:rPr>
        <w:t xml:space="preserve"> procentowe</w:t>
      </w:r>
      <w:r w:rsidR="007C6E41">
        <w:rPr>
          <w:rFonts w:cstheme="minorHAnsi"/>
          <w:szCs w:val="24"/>
        </w:rPr>
        <w:t xml:space="preserve"> </w:t>
      </w:r>
      <w:r w:rsidR="006622DB">
        <w:rPr>
          <w:rFonts w:cstheme="minorHAnsi"/>
          <w:szCs w:val="24"/>
        </w:rPr>
        <w:t>mniej</w:t>
      </w:r>
      <w:r w:rsidR="006622DB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w stosunku do</w:t>
      </w:r>
      <w:r w:rsidR="007E37E0">
        <w:rPr>
          <w:rFonts w:cstheme="minorHAnsi"/>
          <w:szCs w:val="24"/>
        </w:rPr>
        <w:t xml:space="preserve"> pierwszej</w:t>
      </w:r>
      <w:r>
        <w:rPr>
          <w:rFonts w:cstheme="minorHAnsi"/>
          <w:szCs w:val="24"/>
        </w:rPr>
        <w:t xml:space="preserve"> </w:t>
      </w:r>
      <w:r w:rsidR="007E37E0">
        <w:rPr>
          <w:rFonts w:cstheme="minorHAnsi"/>
          <w:szCs w:val="24"/>
        </w:rPr>
        <w:t>połowy</w:t>
      </w:r>
      <w:r w:rsidRPr="00E401F0">
        <w:rPr>
          <w:rFonts w:cstheme="minorHAnsi"/>
          <w:szCs w:val="24"/>
        </w:rPr>
        <w:t xml:space="preserve"> </w:t>
      </w:r>
      <w:r w:rsidR="007C6E41">
        <w:rPr>
          <w:rFonts w:cstheme="minorHAnsi"/>
          <w:szCs w:val="24"/>
        </w:rPr>
        <w:t>2024 roku.</w:t>
      </w:r>
      <w:r>
        <w:rPr>
          <w:rFonts w:cstheme="minorHAnsi"/>
          <w:szCs w:val="24"/>
        </w:rPr>
        <w:t xml:space="preserve"> </w:t>
      </w:r>
      <w:r w:rsidR="00EA13B7">
        <w:rPr>
          <w:rFonts w:cstheme="minorHAnsi"/>
          <w:szCs w:val="24"/>
        </w:rPr>
        <w:t>W </w:t>
      </w:r>
      <w:r w:rsidR="007E37E0">
        <w:rPr>
          <w:rFonts w:cstheme="minorHAnsi"/>
          <w:szCs w:val="24"/>
        </w:rPr>
        <w:t xml:space="preserve">drugim kwartale przewoźnicy ci mieli udział w wysokości </w:t>
      </w:r>
      <w:r w:rsidR="006622DB">
        <w:rPr>
          <w:rFonts w:cstheme="minorHAnsi"/>
          <w:szCs w:val="24"/>
        </w:rPr>
        <w:t>61,4</w:t>
      </w:r>
      <w:r w:rsidR="007C6E41">
        <w:rPr>
          <w:rFonts w:cstheme="minorHAnsi"/>
          <w:szCs w:val="24"/>
        </w:rPr>
        <w:t>%,</w:t>
      </w:r>
      <w:r w:rsidR="007E37E0">
        <w:rPr>
          <w:rFonts w:cstheme="minorHAnsi"/>
          <w:szCs w:val="24"/>
        </w:rPr>
        <w:t xml:space="preserve"> </w:t>
      </w:r>
      <w:r w:rsidR="007B4C1F">
        <w:rPr>
          <w:rFonts w:cstheme="minorHAnsi"/>
          <w:szCs w:val="24"/>
        </w:rPr>
        <w:t xml:space="preserve">o </w:t>
      </w:r>
      <w:r w:rsidR="006622DB">
        <w:rPr>
          <w:rFonts w:cstheme="minorHAnsi"/>
          <w:szCs w:val="24"/>
        </w:rPr>
        <w:t xml:space="preserve">1 </w:t>
      </w:r>
      <w:r w:rsidR="006E0364">
        <w:rPr>
          <w:rFonts w:cstheme="minorHAnsi"/>
          <w:szCs w:val="24"/>
        </w:rPr>
        <w:t>punkt procentow</w:t>
      </w:r>
      <w:r w:rsidR="006622DB">
        <w:rPr>
          <w:rFonts w:cstheme="minorHAnsi"/>
          <w:szCs w:val="24"/>
        </w:rPr>
        <w:t>y</w:t>
      </w:r>
      <w:r w:rsidR="007C6E41">
        <w:rPr>
          <w:rFonts w:cstheme="minorHAnsi"/>
          <w:szCs w:val="24"/>
        </w:rPr>
        <w:t xml:space="preserve"> </w:t>
      </w:r>
      <w:r w:rsidR="006622DB">
        <w:rPr>
          <w:rFonts w:cstheme="minorHAnsi"/>
          <w:szCs w:val="24"/>
        </w:rPr>
        <w:t xml:space="preserve">mniej </w:t>
      </w:r>
      <w:r w:rsidR="007C6E41">
        <w:rPr>
          <w:rFonts w:cstheme="minorHAnsi"/>
          <w:szCs w:val="24"/>
        </w:rPr>
        <w:t>niż w drugim kwartale 2024 roku. Łącznie obaj</w:t>
      </w:r>
      <w:r w:rsidRPr="00E401F0">
        <w:rPr>
          <w:rFonts w:cstheme="minorHAnsi"/>
          <w:szCs w:val="24"/>
        </w:rPr>
        <w:t xml:space="preserve"> </w:t>
      </w:r>
      <w:r w:rsidR="006622DB">
        <w:rPr>
          <w:rFonts w:cstheme="minorHAnsi"/>
          <w:szCs w:val="24"/>
        </w:rPr>
        <w:t xml:space="preserve">przewoźnicy </w:t>
      </w:r>
      <w:r w:rsidR="007C6E41">
        <w:rPr>
          <w:rFonts w:cstheme="minorHAnsi"/>
          <w:szCs w:val="24"/>
        </w:rPr>
        <w:t>w</w:t>
      </w:r>
      <w:r w:rsidR="0077035C">
        <w:rPr>
          <w:rFonts w:cstheme="minorHAnsi"/>
          <w:szCs w:val="24"/>
        </w:rPr>
        <w:t xml:space="preserve"> pierwszym</w:t>
      </w:r>
      <w:r w:rsidR="007C6E41">
        <w:rPr>
          <w:rFonts w:cstheme="minorHAnsi"/>
          <w:szCs w:val="24"/>
        </w:rPr>
        <w:t xml:space="preserve"> półroczu 2025 r</w:t>
      </w:r>
      <w:r w:rsidR="007B5C38">
        <w:rPr>
          <w:rFonts w:cstheme="minorHAnsi"/>
          <w:szCs w:val="24"/>
        </w:rPr>
        <w:t>oku</w:t>
      </w:r>
      <w:r w:rsidR="007C6E41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obsłużyli w tego typu portach </w:t>
      </w:r>
      <w:r w:rsidR="007C6E41">
        <w:rPr>
          <w:rFonts w:cstheme="minorHAnsi"/>
          <w:szCs w:val="24"/>
        </w:rPr>
        <w:t xml:space="preserve">7,6 </w:t>
      </w:r>
      <w:r w:rsidR="00B96331">
        <w:rPr>
          <w:rFonts w:cstheme="minorHAnsi"/>
          <w:szCs w:val="24"/>
        </w:rPr>
        <w:t>mln</w:t>
      </w:r>
      <w:r w:rsidRPr="00E401F0">
        <w:rPr>
          <w:rFonts w:cstheme="minorHAnsi"/>
          <w:szCs w:val="24"/>
        </w:rPr>
        <w:t xml:space="preserve"> pasażerów </w:t>
      </w:r>
      <w:r w:rsidR="007C6E41">
        <w:rPr>
          <w:rFonts w:cstheme="minorHAnsi"/>
          <w:szCs w:val="24"/>
        </w:rPr>
        <w:t>(4,</w:t>
      </w:r>
      <w:r w:rsidR="0077035C">
        <w:rPr>
          <w:rFonts w:cstheme="minorHAnsi"/>
          <w:szCs w:val="24"/>
        </w:rPr>
        <w:t xml:space="preserve">5 </w:t>
      </w:r>
      <w:r w:rsidR="00B96331">
        <w:rPr>
          <w:rFonts w:cstheme="minorHAnsi"/>
          <w:szCs w:val="24"/>
        </w:rPr>
        <w:t>mln w drugim kwartale)</w:t>
      </w:r>
      <w:r w:rsidRPr="00E401F0">
        <w:rPr>
          <w:rFonts w:cstheme="minorHAnsi"/>
          <w:szCs w:val="24"/>
        </w:rPr>
        <w:t>, co oznaczało wzrost o</w:t>
      </w:r>
      <w:r w:rsidR="007C6E41">
        <w:rPr>
          <w:rFonts w:cstheme="minorHAnsi"/>
          <w:szCs w:val="24"/>
        </w:rPr>
        <w:t xml:space="preserve"> </w:t>
      </w:r>
      <w:r w:rsidR="0077035C">
        <w:rPr>
          <w:rFonts w:cstheme="minorHAnsi"/>
          <w:szCs w:val="24"/>
        </w:rPr>
        <w:t>4,7</w:t>
      </w:r>
      <w:r w:rsidR="00B96331">
        <w:rPr>
          <w:rFonts w:cstheme="minorHAnsi"/>
          <w:szCs w:val="24"/>
        </w:rPr>
        <w:t>% w por</w:t>
      </w:r>
      <w:r w:rsidR="007C6E41">
        <w:rPr>
          <w:rFonts w:cstheme="minorHAnsi"/>
          <w:szCs w:val="24"/>
        </w:rPr>
        <w:t>ównaniu do analogicznego okresu 2024</w:t>
      </w:r>
      <w:r w:rsidR="00B96331">
        <w:rPr>
          <w:rFonts w:cstheme="minorHAnsi"/>
          <w:szCs w:val="24"/>
        </w:rPr>
        <w:t xml:space="preserve"> roku (+</w:t>
      </w:r>
      <w:r w:rsidR="0077035C">
        <w:rPr>
          <w:rFonts w:cstheme="minorHAnsi"/>
          <w:szCs w:val="24"/>
        </w:rPr>
        <w:t>6,5</w:t>
      </w:r>
      <w:r w:rsidRPr="00E401F0">
        <w:rPr>
          <w:rFonts w:cstheme="minorHAnsi"/>
          <w:szCs w:val="24"/>
        </w:rPr>
        <w:t xml:space="preserve">% względem </w:t>
      </w:r>
      <w:r w:rsidR="007B4C1F">
        <w:rPr>
          <w:rFonts w:cstheme="minorHAnsi"/>
          <w:szCs w:val="24"/>
        </w:rPr>
        <w:t>drugiego</w:t>
      </w:r>
      <w:r>
        <w:rPr>
          <w:rFonts w:cstheme="minorHAnsi"/>
          <w:szCs w:val="24"/>
        </w:rPr>
        <w:t xml:space="preserve"> kwartału</w:t>
      </w:r>
      <w:r w:rsidR="00B96331">
        <w:rPr>
          <w:rFonts w:cstheme="minorHAnsi"/>
          <w:szCs w:val="24"/>
        </w:rPr>
        <w:t>)</w:t>
      </w:r>
      <w:r w:rsidR="00E80CC2">
        <w:rPr>
          <w:rFonts w:cstheme="minorHAnsi"/>
          <w:szCs w:val="24"/>
        </w:rPr>
        <w:t xml:space="preserve">. </w:t>
      </w:r>
      <w:r w:rsidRPr="00E401F0">
        <w:rPr>
          <w:rFonts w:cstheme="minorHAnsi"/>
          <w:szCs w:val="24"/>
        </w:rPr>
        <w:t xml:space="preserve">Wśród przewoźników sieciowych w portach regionalnych </w:t>
      </w:r>
      <w:r>
        <w:rPr>
          <w:rFonts w:cstheme="minorHAnsi"/>
          <w:szCs w:val="24"/>
        </w:rPr>
        <w:t>obsługujących 1-10</w:t>
      </w:r>
      <w:r w:rsidRPr="00E401F0">
        <w:rPr>
          <w:rFonts w:cstheme="minorHAnsi"/>
          <w:szCs w:val="24"/>
        </w:rPr>
        <w:t xml:space="preserve"> mln pasażerów rocznie</w:t>
      </w:r>
      <w:r w:rsidR="00EA13B7">
        <w:rPr>
          <w:rFonts w:cstheme="minorHAnsi"/>
          <w:szCs w:val="24"/>
        </w:rPr>
        <w:t xml:space="preserve"> najwięcej pasażerów obsłużył w </w:t>
      </w:r>
      <w:r w:rsidR="00B96331">
        <w:rPr>
          <w:rFonts w:cstheme="minorHAnsi"/>
          <w:szCs w:val="24"/>
        </w:rPr>
        <w:t>pierwszej</w:t>
      </w:r>
      <w:r w:rsidRPr="00E401F0">
        <w:rPr>
          <w:rFonts w:cstheme="minorHAnsi"/>
          <w:szCs w:val="24"/>
        </w:rPr>
        <w:t xml:space="preserve"> </w:t>
      </w:r>
      <w:r w:rsidR="00B96331">
        <w:rPr>
          <w:rFonts w:cstheme="minorHAnsi"/>
          <w:szCs w:val="24"/>
        </w:rPr>
        <w:t>połowie</w:t>
      </w:r>
      <w:r w:rsidRPr="00E401F0">
        <w:rPr>
          <w:rFonts w:cstheme="minorHAnsi"/>
          <w:szCs w:val="24"/>
        </w:rPr>
        <w:t xml:space="preserve"> </w:t>
      </w:r>
      <w:r w:rsidR="00B96331">
        <w:rPr>
          <w:rFonts w:cstheme="minorHAnsi"/>
          <w:szCs w:val="24"/>
        </w:rPr>
        <w:t xml:space="preserve">i w samym drugim kwartale </w:t>
      </w:r>
      <w:r w:rsidR="00B96331" w:rsidRPr="00E401F0">
        <w:rPr>
          <w:rFonts w:cstheme="minorHAnsi"/>
          <w:szCs w:val="24"/>
        </w:rPr>
        <w:t>202</w:t>
      </w:r>
      <w:r w:rsidR="00DA4DCC">
        <w:rPr>
          <w:rFonts w:cstheme="minorHAnsi"/>
          <w:szCs w:val="24"/>
        </w:rPr>
        <w:t xml:space="preserve">5 </w:t>
      </w:r>
      <w:r w:rsidR="00B96331" w:rsidRPr="00E401F0">
        <w:rPr>
          <w:rFonts w:cstheme="minorHAnsi"/>
          <w:szCs w:val="24"/>
        </w:rPr>
        <w:t xml:space="preserve">roku </w:t>
      </w:r>
      <w:r w:rsidRPr="00E401F0">
        <w:rPr>
          <w:rFonts w:cstheme="minorHAnsi"/>
          <w:szCs w:val="24"/>
        </w:rPr>
        <w:t xml:space="preserve">PLL LOT. Przewoźnik </w:t>
      </w:r>
      <w:r w:rsidR="000A6B86">
        <w:rPr>
          <w:rFonts w:cstheme="minorHAnsi"/>
          <w:szCs w:val="24"/>
        </w:rPr>
        <w:t>w pierwszym półroczu 2025 r</w:t>
      </w:r>
      <w:r w:rsidR="007B5C38">
        <w:rPr>
          <w:rFonts w:cstheme="minorHAnsi"/>
          <w:szCs w:val="24"/>
        </w:rPr>
        <w:t>oku</w:t>
      </w:r>
      <w:r w:rsidR="000A6B86">
        <w:rPr>
          <w:rFonts w:cstheme="minorHAnsi"/>
          <w:szCs w:val="24"/>
        </w:rPr>
        <w:t xml:space="preserve"> </w:t>
      </w:r>
      <w:r w:rsidR="00747D08">
        <w:rPr>
          <w:rFonts w:cstheme="minorHAnsi"/>
          <w:szCs w:val="24"/>
        </w:rPr>
        <w:t>przewiózł o 41</w:t>
      </w:r>
      <w:r w:rsidR="0077035C">
        <w:rPr>
          <w:rFonts w:cstheme="minorHAnsi"/>
          <w:szCs w:val="24"/>
        </w:rPr>
        <w:t>,8</w:t>
      </w:r>
      <w:r w:rsidR="00747D08">
        <w:rPr>
          <w:rFonts w:cstheme="minorHAnsi"/>
          <w:szCs w:val="24"/>
        </w:rPr>
        <w:t xml:space="preserve"> tys. pasażerów</w:t>
      </w:r>
      <w:r w:rsidR="000A6B86">
        <w:rPr>
          <w:rFonts w:cstheme="minorHAnsi"/>
          <w:szCs w:val="24"/>
        </w:rPr>
        <w:t xml:space="preserve"> </w:t>
      </w:r>
      <w:r w:rsidR="00B96331">
        <w:rPr>
          <w:rFonts w:cstheme="minorHAnsi"/>
          <w:szCs w:val="24"/>
        </w:rPr>
        <w:t xml:space="preserve">więcej niż </w:t>
      </w:r>
      <w:r w:rsidR="007B5C38">
        <w:rPr>
          <w:rFonts w:cstheme="minorHAnsi"/>
          <w:szCs w:val="24"/>
        </w:rPr>
        <w:t>rok wcześniej</w:t>
      </w:r>
      <w:r w:rsidR="0005256A">
        <w:rPr>
          <w:rFonts w:cstheme="minorHAnsi"/>
          <w:szCs w:val="24"/>
        </w:rPr>
        <w:t>.</w:t>
      </w:r>
      <w:r w:rsidRPr="00E401F0">
        <w:rPr>
          <w:rFonts w:cstheme="minorHAnsi"/>
          <w:szCs w:val="24"/>
        </w:rPr>
        <w:t xml:space="preserve"> </w:t>
      </w:r>
      <w:r w:rsidR="00B96331">
        <w:rPr>
          <w:rFonts w:cstheme="minorHAnsi"/>
          <w:szCs w:val="24"/>
        </w:rPr>
        <w:t xml:space="preserve">W drugim kwartale </w:t>
      </w:r>
      <w:r w:rsidR="00747D08">
        <w:rPr>
          <w:rFonts w:cstheme="minorHAnsi"/>
          <w:szCs w:val="24"/>
        </w:rPr>
        <w:t>było to</w:t>
      </w:r>
      <w:r w:rsidR="0077035C">
        <w:rPr>
          <w:rFonts w:cstheme="minorHAnsi"/>
          <w:szCs w:val="24"/>
        </w:rPr>
        <w:t xml:space="preserve"> o</w:t>
      </w:r>
      <w:r w:rsidR="00747D08">
        <w:rPr>
          <w:rFonts w:cstheme="minorHAnsi"/>
          <w:szCs w:val="24"/>
        </w:rPr>
        <w:t xml:space="preserve"> 10</w:t>
      </w:r>
      <w:r w:rsidR="0077035C">
        <w:rPr>
          <w:rFonts w:cstheme="minorHAnsi"/>
          <w:szCs w:val="24"/>
        </w:rPr>
        <w:t>,1</w:t>
      </w:r>
      <w:r w:rsidR="00747D08">
        <w:rPr>
          <w:rFonts w:cstheme="minorHAnsi"/>
          <w:szCs w:val="24"/>
        </w:rPr>
        <w:t xml:space="preserve"> tys. pasażerów więcej </w:t>
      </w:r>
      <w:r w:rsidR="00B96331">
        <w:rPr>
          <w:rFonts w:cstheme="minorHAnsi"/>
          <w:szCs w:val="24"/>
        </w:rPr>
        <w:t>niż w drugim kwartale 20</w:t>
      </w:r>
      <w:r w:rsidR="0057014A">
        <w:rPr>
          <w:rFonts w:cstheme="minorHAnsi"/>
          <w:szCs w:val="24"/>
        </w:rPr>
        <w:t>24</w:t>
      </w:r>
      <w:r w:rsidR="0005256A">
        <w:rPr>
          <w:rFonts w:cstheme="minorHAnsi"/>
          <w:szCs w:val="24"/>
        </w:rPr>
        <w:t xml:space="preserve"> roku</w:t>
      </w:r>
      <w:r w:rsidR="00B96331">
        <w:rPr>
          <w:rFonts w:cstheme="minorHAnsi"/>
          <w:szCs w:val="24"/>
        </w:rPr>
        <w:t xml:space="preserve">. </w:t>
      </w:r>
      <w:r w:rsidRPr="00E401F0">
        <w:rPr>
          <w:rFonts w:cstheme="minorHAnsi"/>
          <w:szCs w:val="24"/>
        </w:rPr>
        <w:t>Wśród pozostałych linii sieciowych najwięcej pasażerów w</w:t>
      </w:r>
      <w:r w:rsidR="00EA13B7">
        <w:rPr>
          <w:rFonts w:cstheme="minorHAnsi"/>
          <w:szCs w:val="24"/>
        </w:rPr>
        <w:t> </w:t>
      </w:r>
      <w:r w:rsidR="00B96331">
        <w:rPr>
          <w:rFonts w:cstheme="minorHAnsi"/>
          <w:szCs w:val="24"/>
        </w:rPr>
        <w:t>pierwszym półroczu oraz w drugim</w:t>
      </w:r>
      <w:r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77035C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przewio</w:t>
      </w:r>
      <w:r>
        <w:rPr>
          <w:rFonts w:cstheme="minorHAnsi"/>
          <w:szCs w:val="24"/>
        </w:rPr>
        <w:t>zły Lufthansa i KLM</w:t>
      </w:r>
      <w:r w:rsidRPr="00E401F0">
        <w:rPr>
          <w:rFonts w:cstheme="minorHAnsi"/>
          <w:szCs w:val="24"/>
        </w:rPr>
        <w:t>.</w:t>
      </w:r>
    </w:p>
    <w:p w14:paraId="621F493C" w14:textId="77777777" w:rsidR="005D3326" w:rsidRDefault="007E37E0" w:rsidP="007E37E0">
      <w:pPr>
        <w:jc w:val="center"/>
      </w:pPr>
      <w:r>
        <w:rPr>
          <w:noProof/>
          <w:lang w:eastAsia="pl-PL"/>
        </w:rPr>
        <w:drawing>
          <wp:inline distT="0" distB="0" distL="0" distR="0" wp14:anchorId="2F28DB44" wp14:editId="55FE2292">
            <wp:extent cx="3599815" cy="1922145"/>
            <wp:effectExtent l="0" t="0" r="635" b="1905"/>
            <wp:docPr id="53" name="Wykres 53" descr="Wykres porównuje dynamikę ruchu w portach obsługujących 1-10 mln pasażerów z porównywalnymi portami zrzeszonymi w ACI w minionych kwartałach roku bieżącego i poprzedniego. Dane przedstawione w Tabeli 10.3 poniżej." title="Wykres 10.3 Dynamika portów obsługujących 1-10 mln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AB8A7C8" w14:textId="2ACB3CBC" w:rsidR="0036763E" w:rsidRDefault="005D3326" w:rsidP="00234D3E">
      <w:pPr>
        <w:pStyle w:val="Legenda"/>
        <w:rPr>
          <w:i w:val="0"/>
          <w:iCs w:val="0"/>
          <w:szCs w:val="22"/>
        </w:rPr>
      </w:pPr>
      <w:bookmarkStart w:id="38" w:name="_Toc219462791"/>
      <w:r w:rsidRPr="005D3326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3</w:t>
      </w:r>
      <w:r w:rsidR="00F27BCD">
        <w:rPr>
          <w:b/>
        </w:rPr>
        <w:fldChar w:fldCharType="end"/>
      </w:r>
      <w:r w:rsidR="005F17F2">
        <w:rPr>
          <w:b/>
        </w:rPr>
        <w:t xml:space="preserve"> </w:t>
      </w:r>
      <w:r w:rsidR="0036763E" w:rsidRPr="0036763E">
        <w:t>Dynamika portów obsługujących 1-10 mln pasażerów- wykres porównuje dynamikę ruchu w pierwszej połowie 2025 i 2024 roku w polskich portach regionalnych obsługujących rocznie 1-10 mln pasażerów oraz porównywalnych portach zrzeszonych w organizacji</w:t>
      </w:r>
      <w:r w:rsidR="0036763E" w:rsidRPr="0036763E">
        <w:rPr>
          <w:i w:val="0"/>
          <w:iCs w:val="0"/>
          <w:szCs w:val="22"/>
        </w:rPr>
        <w:t xml:space="preserve"> </w:t>
      </w:r>
      <w:r w:rsidR="0036763E" w:rsidRPr="0036763E">
        <w:t>ACI</w:t>
      </w:r>
      <w:bookmarkEnd w:id="38"/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970"/>
      </w:tblGrid>
      <w:tr w:rsidR="0036763E" w:rsidRPr="0036763E" w14:paraId="2272B5A1" w14:textId="77777777" w:rsidTr="00234D3E">
        <w:trPr>
          <w:divId w:val="923997036"/>
          <w:trHeight w:val="317"/>
          <w:jc w:val="center"/>
        </w:trPr>
        <w:tc>
          <w:tcPr>
            <w:tcW w:w="0" w:type="auto"/>
            <w:tcBorders>
              <w:top w:val="single" w:sz="8" w:space="0" w:color="283772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29098D3B" w14:textId="77777777" w:rsidR="0036763E" w:rsidRPr="0036763E" w:rsidRDefault="0036763E" w:rsidP="0078494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Porty 1-10 mln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6E7BE7A6" w14:textId="77777777" w:rsidR="0036763E" w:rsidRPr="0036763E" w:rsidRDefault="0036763E" w:rsidP="00784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Wartość</w:t>
            </w:r>
          </w:p>
        </w:tc>
      </w:tr>
      <w:tr w:rsidR="0036763E" w:rsidRPr="0036763E" w14:paraId="30C9B3D3" w14:textId="77777777" w:rsidTr="00234D3E">
        <w:trPr>
          <w:divId w:val="923997036"/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25AEB1BD" w14:textId="77777777" w:rsidR="0036763E" w:rsidRPr="0036763E" w:rsidRDefault="0036763E" w:rsidP="00784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Polska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39E567BE" w14:textId="77777777" w:rsidR="0036763E" w:rsidRPr="0036763E" w:rsidRDefault="0036763E" w:rsidP="00784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7,89%</w:t>
            </w:r>
          </w:p>
        </w:tc>
      </w:tr>
      <w:tr w:rsidR="0036763E" w:rsidRPr="0036763E" w14:paraId="05A79DC0" w14:textId="77777777" w:rsidTr="00234D3E">
        <w:trPr>
          <w:divId w:val="923997036"/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45046A49" w14:textId="77777777" w:rsidR="0036763E" w:rsidRPr="0036763E" w:rsidRDefault="0036763E" w:rsidP="00784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Porty 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556E5B0B" w14:textId="77777777" w:rsidR="0036763E" w:rsidRPr="0036763E" w:rsidRDefault="0036763E" w:rsidP="007849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36763E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5,40%</w:t>
            </w:r>
          </w:p>
        </w:tc>
      </w:tr>
    </w:tbl>
    <w:p w14:paraId="4E04267B" w14:textId="4AF0EBC3" w:rsidR="00071292" w:rsidRDefault="000B5FC8" w:rsidP="00071292">
      <w:pPr>
        <w:pStyle w:val="Legenda"/>
        <w:rPr>
          <w:i w:val="0"/>
          <w:iCs w:val="0"/>
          <w:noProof/>
        </w:rPr>
      </w:pPr>
      <w:bookmarkStart w:id="39" w:name="_Toc216787134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</w:t>
      </w:r>
      <w:r w:rsidR="00A2095D" w:rsidRPr="00E401F0">
        <w:rPr>
          <w:noProof/>
        </w:rPr>
        <w:t>D</w:t>
      </w:r>
      <w:r w:rsidR="00A2095D">
        <w:rPr>
          <w:noProof/>
        </w:rPr>
        <w:t>ynamika portów obsługujących 1-10</w:t>
      </w:r>
      <w:r w:rsidR="00A2095D" w:rsidRPr="00E401F0">
        <w:rPr>
          <w:noProof/>
        </w:rPr>
        <w:t xml:space="preserve"> mln pasażerów</w:t>
      </w:r>
      <w:bookmarkEnd w:id="39"/>
      <w:r w:rsidR="00071292">
        <w:rPr>
          <w:noProof/>
        </w:rPr>
        <w:br w:type="page"/>
      </w:r>
    </w:p>
    <w:p w14:paraId="733E0123" w14:textId="77777777" w:rsidR="00073E90" w:rsidRPr="00E401F0" w:rsidRDefault="00073E90" w:rsidP="00073E90">
      <w:pPr>
        <w:pStyle w:val="Nagwek2"/>
      </w:pPr>
      <w:bookmarkStart w:id="40" w:name="_Toc178665049"/>
      <w:r w:rsidRPr="00E401F0">
        <w:lastRenderedPageBreak/>
        <w:t>Porty lotnicze obsługujące mniej niż 1 mln pasażerów rocznie</w:t>
      </w:r>
      <w:bookmarkEnd w:id="40"/>
    </w:p>
    <w:p w14:paraId="2CBE8E22" w14:textId="16EB187E"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Porty regionalne </w:t>
      </w:r>
      <w:r w:rsidR="00E80E5D" w:rsidRPr="00E401F0">
        <w:rPr>
          <w:rFonts w:cstheme="minorHAnsi"/>
          <w:szCs w:val="24"/>
        </w:rPr>
        <w:t>obsługujące poniżej 1</w:t>
      </w:r>
      <w:r w:rsidRPr="00E401F0">
        <w:rPr>
          <w:rFonts w:cstheme="minorHAnsi"/>
          <w:szCs w:val="24"/>
        </w:rPr>
        <w:t xml:space="preserve"> mln pasażerów rocznie łącznie </w:t>
      </w:r>
      <w:r w:rsidR="00536DE7">
        <w:rPr>
          <w:rFonts w:cstheme="minorHAnsi"/>
          <w:szCs w:val="24"/>
        </w:rPr>
        <w:t>po półroczu 2025 r</w:t>
      </w:r>
      <w:r w:rsidR="007B5C38">
        <w:rPr>
          <w:rFonts w:cstheme="minorHAnsi"/>
          <w:szCs w:val="24"/>
        </w:rPr>
        <w:t>oku</w:t>
      </w:r>
      <w:r w:rsidR="00536DE7">
        <w:rPr>
          <w:rFonts w:cstheme="minorHAnsi"/>
          <w:szCs w:val="24"/>
        </w:rPr>
        <w:t xml:space="preserve"> odnotowały</w:t>
      </w:r>
      <w:r w:rsidRPr="00E401F0">
        <w:rPr>
          <w:rFonts w:cstheme="minorHAnsi"/>
          <w:szCs w:val="24"/>
        </w:rPr>
        <w:t xml:space="preserve"> wynik lepszy od porównywalnych po</w:t>
      </w:r>
      <w:r w:rsidR="004A4FC8" w:rsidRPr="00E401F0">
        <w:rPr>
          <w:rFonts w:cstheme="minorHAnsi"/>
          <w:szCs w:val="24"/>
        </w:rPr>
        <w:t>rtów 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4"/>
      </w:r>
      <w:r w:rsidR="004A4FC8" w:rsidRPr="00E401F0">
        <w:rPr>
          <w:rFonts w:cstheme="minorHAnsi"/>
          <w:szCs w:val="24"/>
        </w:rPr>
        <w:t xml:space="preserve"> o </w:t>
      </w:r>
      <w:r w:rsidR="0077035C">
        <w:rPr>
          <w:rFonts w:cstheme="minorHAnsi"/>
          <w:szCs w:val="24"/>
        </w:rPr>
        <w:t>1</w:t>
      </w:r>
      <w:r w:rsidR="004A4FC8" w:rsidRPr="00E401F0">
        <w:rPr>
          <w:rFonts w:cstheme="minorHAnsi"/>
          <w:szCs w:val="24"/>
        </w:rPr>
        <w:t xml:space="preserve"> </w:t>
      </w:r>
      <w:r w:rsidR="00B96331">
        <w:rPr>
          <w:rFonts w:cstheme="minorHAnsi"/>
          <w:szCs w:val="24"/>
        </w:rPr>
        <w:t>punkt</w:t>
      </w:r>
      <w:r w:rsidR="00AE5EBE">
        <w:rPr>
          <w:rFonts w:cstheme="minorHAnsi"/>
          <w:szCs w:val="24"/>
        </w:rPr>
        <w:t xml:space="preserve"> proc</w:t>
      </w:r>
      <w:r w:rsidR="00B96331">
        <w:rPr>
          <w:rFonts w:cstheme="minorHAnsi"/>
          <w:szCs w:val="24"/>
        </w:rPr>
        <w:t>entow</w:t>
      </w:r>
      <w:r w:rsidR="0077035C">
        <w:rPr>
          <w:rFonts w:cstheme="minorHAnsi"/>
          <w:szCs w:val="24"/>
        </w:rPr>
        <w:t>y</w:t>
      </w:r>
      <w:r w:rsidR="00B96331">
        <w:rPr>
          <w:rFonts w:cstheme="minorHAnsi"/>
          <w:szCs w:val="24"/>
        </w:rPr>
        <w:t>.</w:t>
      </w:r>
      <w:r w:rsidR="0077035C">
        <w:rPr>
          <w:rFonts w:cstheme="minorHAnsi"/>
          <w:szCs w:val="24"/>
        </w:rPr>
        <w:t xml:space="preserve"> </w:t>
      </w:r>
      <w:r w:rsidR="0077035C" w:rsidRPr="007D383E">
        <w:rPr>
          <w:rFonts w:cstheme="minorHAnsi"/>
          <w:szCs w:val="24"/>
        </w:rPr>
        <w:t>Do tej kategorii zaliczane</w:t>
      </w:r>
      <w:r w:rsidR="0077035C">
        <w:rPr>
          <w:rFonts w:cstheme="minorHAnsi"/>
          <w:szCs w:val="24"/>
        </w:rPr>
        <w:t xml:space="preserve"> są</w:t>
      </w:r>
      <w:r w:rsidR="0077035C" w:rsidRPr="007D383E">
        <w:rPr>
          <w:rFonts w:cstheme="minorHAnsi"/>
          <w:szCs w:val="24"/>
        </w:rPr>
        <w:t xml:space="preserve"> </w:t>
      </w:r>
      <w:r w:rsidR="0077035C">
        <w:rPr>
          <w:rFonts w:cstheme="minorHAnsi"/>
          <w:szCs w:val="24"/>
        </w:rPr>
        <w:t xml:space="preserve">w 2025 roku </w:t>
      </w:r>
      <w:r w:rsidR="0077035C" w:rsidRPr="007D383E">
        <w:rPr>
          <w:rFonts w:cstheme="minorHAnsi"/>
          <w:szCs w:val="24"/>
        </w:rPr>
        <w:t>porty lotnicze: Szczecin-Goleniów, Łódź, Lublin, Bydgoszcz, Warszawa-Radom, Zielona Góra-Babimost oraz Olsztyn-Mazury.</w:t>
      </w:r>
    </w:p>
    <w:p w14:paraId="255F6FEA" w14:textId="7D2E3108"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</w:t>
      </w:r>
      <w:r w:rsidR="0003141B" w:rsidRPr="00E401F0">
        <w:rPr>
          <w:rFonts w:cstheme="minorHAnsi"/>
          <w:szCs w:val="24"/>
        </w:rPr>
        <w:t xml:space="preserve"> małych</w:t>
      </w:r>
      <w:r w:rsidRPr="00E401F0">
        <w:rPr>
          <w:rFonts w:cstheme="minorHAnsi"/>
          <w:szCs w:val="24"/>
        </w:rPr>
        <w:t xml:space="preserve"> portach regionalnych </w:t>
      </w:r>
      <w:r w:rsidR="007B4A6D" w:rsidRPr="00E401F0">
        <w:rPr>
          <w:rFonts w:cstheme="minorHAnsi"/>
          <w:szCs w:val="24"/>
        </w:rPr>
        <w:t xml:space="preserve">w </w:t>
      </w:r>
      <w:r w:rsidR="00B96331">
        <w:rPr>
          <w:rFonts w:cstheme="minorHAnsi"/>
          <w:szCs w:val="24"/>
        </w:rPr>
        <w:t>pierwszym półroczu</w:t>
      </w:r>
      <w:r w:rsidRPr="00E401F0">
        <w:rPr>
          <w:rFonts w:cstheme="minorHAnsi"/>
          <w:szCs w:val="24"/>
        </w:rPr>
        <w:t xml:space="preserve"> i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0A6B86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</w:t>
      </w:r>
      <w:r w:rsidR="00536DE7">
        <w:rPr>
          <w:rFonts w:cstheme="minorHAnsi"/>
          <w:szCs w:val="24"/>
        </w:rPr>
        <w:t>ku najwięcej pasażerów obsłużył</w:t>
      </w:r>
      <w:r w:rsidRPr="00E401F0">
        <w:rPr>
          <w:rFonts w:cstheme="minorHAnsi"/>
          <w:szCs w:val="24"/>
        </w:rPr>
        <w:t xml:space="preserve"> Ryanair</w:t>
      </w:r>
      <w:r w:rsidR="00293021" w:rsidRPr="00E401F0">
        <w:rPr>
          <w:rFonts w:cstheme="minorHAnsi"/>
          <w:szCs w:val="24"/>
        </w:rPr>
        <w:t xml:space="preserve"> (</w:t>
      </w:r>
      <w:r w:rsidR="00747D08">
        <w:rPr>
          <w:rFonts w:cstheme="minorHAnsi"/>
          <w:szCs w:val="24"/>
        </w:rPr>
        <w:t>+</w:t>
      </w:r>
      <w:r w:rsidR="002657E4">
        <w:rPr>
          <w:rFonts w:cstheme="minorHAnsi"/>
          <w:szCs w:val="24"/>
        </w:rPr>
        <w:t>93,</w:t>
      </w:r>
      <w:r w:rsidR="0077035C">
        <w:rPr>
          <w:rFonts w:cstheme="minorHAnsi"/>
          <w:szCs w:val="24"/>
        </w:rPr>
        <w:t xml:space="preserve">6 </w:t>
      </w:r>
      <w:r w:rsidR="002657E4">
        <w:rPr>
          <w:rFonts w:cstheme="minorHAnsi"/>
          <w:szCs w:val="24"/>
        </w:rPr>
        <w:t xml:space="preserve">tys. </w:t>
      </w:r>
      <w:r w:rsidR="00785EF8">
        <w:rPr>
          <w:rFonts w:cstheme="minorHAnsi"/>
          <w:szCs w:val="24"/>
        </w:rPr>
        <w:t xml:space="preserve">w </w:t>
      </w:r>
      <w:r w:rsidR="00D92007">
        <w:rPr>
          <w:rFonts w:cstheme="minorHAnsi"/>
          <w:szCs w:val="24"/>
        </w:rPr>
        <w:t>półroczu</w:t>
      </w:r>
      <w:r w:rsidR="002657E4">
        <w:rPr>
          <w:rFonts w:cstheme="minorHAnsi"/>
          <w:szCs w:val="24"/>
        </w:rPr>
        <w:t>, z czego +78</w:t>
      </w:r>
      <w:r w:rsidR="00EA13B7">
        <w:rPr>
          <w:rFonts w:cstheme="minorHAnsi"/>
          <w:szCs w:val="24"/>
        </w:rPr>
        <w:t> </w:t>
      </w:r>
      <w:r w:rsidR="00785EF8">
        <w:rPr>
          <w:rFonts w:cstheme="minorHAnsi"/>
          <w:szCs w:val="24"/>
        </w:rPr>
        <w:t>tys. w</w:t>
      </w:r>
      <w:r w:rsidR="002657E4">
        <w:rPr>
          <w:rFonts w:cstheme="minorHAnsi"/>
          <w:szCs w:val="24"/>
        </w:rPr>
        <w:t xml:space="preserve"> samym</w:t>
      </w:r>
      <w:r w:rsidR="00785EF8">
        <w:rPr>
          <w:rFonts w:cstheme="minorHAnsi"/>
          <w:szCs w:val="24"/>
        </w:rPr>
        <w:t> </w:t>
      </w:r>
      <w:r w:rsidR="00AE5EBE">
        <w:rPr>
          <w:rFonts w:cstheme="minorHAnsi"/>
          <w:szCs w:val="24"/>
        </w:rPr>
        <w:t>drugim</w:t>
      </w:r>
      <w:r w:rsidR="00293021" w:rsidRPr="00E401F0">
        <w:rPr>
          <w:rFonts w:cstheme="minorHAnsi"/>
          <w:szCs w:val="24"/>
        </w:rPr>
        <w:t xml:space="preserve"> kwartale)</w:t>
      </w:r>
      <w:r w:rsidR="002657E4">
        <w:rPr>
          <w:rFonts w:cstheme="minorHAnsi"/>
          <w:szCs w:val="24"/>
        </w:rPr>
        <w:t>, a następnie</w:t>
      </w:r>
      <w:r w:rsidR="0003141B" w:rsidRPr="00E401F0">
        <w:rPr>
          <w:rFonts w:cstheme="minorHAnsi"/>
          <w:szCs w:val="24"/>
        </w:rPr>
        <w:t xml:space="preserve"> PLL LOT</w:t>
      </w:r>
      <w:r w:rsidR="00293021" w:rsidRPr="00E401F0">
        <w:rPr>
          <w:rFonts w:cstheme="minorHAnsi"/>
          <w:szCs w:val="24"/>
        </w:rPr>
        <w:t xml:space="preserve"> </w:t>
      </w:r>
      <w:r w:rsidR="0003141B" w:rsidRPr="00E401F0">
        <w:rPr>
          <w:rFonts w:cstheme="minorHAnsi"/>
          <w:szCs w:val="24"/>
        </w:rPr>
        <w:t>oraz Wizz Air</w:t>
      </w:r>
      <w:r w:rsidR="002657E4">
        <w:rPr>
          <w:rFonts w:cstheme="minorHAnsi"/>
          <w:szCs w:val="24"/>
        </w:rPr>
        <w:t>. Warto jednak zaznaczyć</w:t>
      </w:r>
      <w:r w:rsidR="00536DE7">
        <w:rPr>
          <w:rFonts w:cstheme="minorHAnsi"/>
          <w:szCs w:val="24"/>
        </w:rPr>
        <w:t>, że</w:t>
      </w:r>
      <w:r w:rsidR="002657E4">
        <w:rPr>
          <w:rFonts w:cstheme="minorHAnsi"/>
          <w:szCs w:val="24"/>
        </w:rPr>
        <w:t xml:space="preserve"> w ty</w:t>
      </w:r>
      <w:r w:rsidR="00536DE7">
        <w:rPr>
          <w:rFonts w:cstheme="minorHAnsi"/>
          <w:szCs w:val="24"/>
        </w:rPr>
        <w:t>ch</w:t>
      </w:r>
      <w:r w:rsidR="002657E4">
        <w:rPr>
          <w:rFonts w:cstheme="minorHAnsi"/>
          <w:szCs w:val="24"/>
        </w:rPr>
        <w:t xml:space="preserve"> dwóch przypadkach doszło do spadku przewozów </w:t>
      </w:r>
      <w:r w:rsidR="00536DE7">
        <w:rPr>
          <w:rFonts w:cstheme="minorHAnsi"/>
          <w:szCs w:val="24"/>
        </w:rPr>
        <w:t>tak w drugim kwartale jak i w całym półroczu ze względu na redukcję w siatce połączeń na niektórych kierunkach.</w:t>
      </w:r>
    </w:p>
    <w:p w14:paraId="59553B5F" w14:textId="77777777" w:rsidR="005D3326" w:rsidRDefault="005D3326" w:rsidP="005D3326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7488721D" wp14:editId="11811781">
            <wp:extent cx="3600000" cy="1922400"/>
            <wp:effectExtent l="0" t="0" r="635" b="1905"/>
            <wp:docPr id="55" name="Wykres 55" descr="Wykres porównuje dynamikę ruchu w minionych kwartałach roku bieżącego i poprzedniego w polskich portach regionalnych obsługujących rocznie poniżej 1 mln pasażerów oraz porównywalnych portach zrzeszonych w ACI. Dane przedstawione w Tabeli 10.4 poniżej." title="Wykres 10.4 Dynamika portów obsługujących poniżej 1 mln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62DA225" w14:textId="7A2FB915" w:rsidR="00F46842" w:rsidRPr="00F46842" w:rsidRDefault="005D3326" w:rsidP="00234D3E">
      <w:pPr>
        <w:pStyle w:val="Legenda"/>
      </w:pPr>
      <w:bookmarkStart w:id="41" w:name="_Toc219462792"/>
      <w:r w:rsidRPr="005D3326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E812E4">
        <w:rPr>
          <w:b/>
        </w:rPr>
        <w:fldChar w:fldCharType="begin"/>
      </w:r>
      <w:r w:rsidR="00E812E4">
        <w:rPr>
          <w:b/>
        </w:rPr>
        <w:instrText xml:space="preserve"> SEQ Wykres \* ARABIC \s 1 </w:instrText>
      </w:r>
      <w:r w:rsidR="00E812E4">
        <w:rPr>
          <w:b/>
        </w:rPr>
        <w:fldChar w:fldCharType="separate"/>
      </w:r>
      <w:r w:rsidR="00E812E4">
        <w:rPr>
          <w:b/>
          <w:noProof/>
        </w:rPr>
        <w:t>4</w:t>
      </w:r>
      <w:r w:rsidR="00E812E4">
        <w:rPr>
          <w:b/>
        </w:rPr>
        <w:fldChar w:fldCharType="end"/>
      </w:r>
      <w:r w:rsidR="005F17F2">
        <w:rPr>
          <w:b/>
        </w:rPr>
        <w:t xml:space="preserve">. </w:t>
      </w:r>
      <w:r w:rsidR="0036763E" w:rsidRPr="0036763E">
        <w:t>Dynamika portów obsługujących poniżej 1 mln pasażerów- wykres porównuje dynamikę ruchu w pierwszej połowie 2025 i 2024 roku w polskich portach regionalnych obsługujących rocznie poniżej mln pasażerów oraz porównywalnych portach zrzeszonych w organizacji ACI</w:t>
      </w:r>
      <w:bookmarkEnd w:id="41"/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0"/>
        <w:gridCol w:w="970"/>
      </w:tblGrid>
      <w:tr w:rsidR="005F17F2" w:rsidRPr="00862142" w14:paraId="57769D6A" w14:textId="77777777" w:rsidTr="00234D3E">
        <w:trPr>
          <w:trHeight w:val="317"/>
          <w:jc w:val="center"/>
        </w:trPr>
        <w:tc>
          <w:tcPr>
            <w:tcW w:w="0" w:type="auto"/>
            <w:tcBorders>
              <w:top w:val="single" w:sz="8" w:space="0" w:color="283772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7FB258AD" w14:textId="77777777" w:rsidR="005F17F2" w:rsidRPr="00862142" w:rsidRDefault="005F17F2" w:rsidP="005F1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862142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Porty poniżej 1 mln</w:t>
            </w:r>
          </w:p>
        </w:tc>
        <w:tc>
          <w:tcPr>
            <w:tcW w:w="0" w:type="auto"/>
            <w:tcBorders>
              <w:top w:val="single" w:sz="8" w:space="0" w:color="283772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283772"/>
            <w:vAlign w:val="center"/>
            <w:hideMark/>
          </w:tcPr>
          <w:p w14:paraId="7800F2FC" w14:textId="77777777" w:rsidR="005F17F2" w:rsidRPr="00862142" w:rsidRDefault="005F17F2" w:rsidP="005F1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</w:pPr>
            <w:r w:rsidRPr="00862142">
              <w:rPr>
                <w:rFonts w:ascii="Calibri" w:eastAsia="Times New Roman" w:hAnsi="Calibri" w:cs="Calibri"/>
                <w:b/>
                <w:bCs/>
                <w:color w:val="FFFFFF"/>
                <w:szCs w:val="24"/>
                <w:lang w:eastAsia="pl-PL"/>
              </w:rPr>
              <w:t>Wartość</w:t>
            </w:r>
          </w:p>
        </w:tc>
      </w:tr>
      <w:tr w:rsidR="005F17F2" w:rsidRPr="00862142" w14:paraId="17C6BE0A" w14:textId="77777777" w:rsidTr="00234D3E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7C81CCB0" w14:textId="77777777" w:rsidR="005F17F2" w:rsidRPr="00862142" w:rsidRDefault="005F17F2" w:rsidP="005F1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862142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Polska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FFFFFF"/>
            <w:vAlign w:val="center"/>
            <w:hideMark/>
          </w:tcPr>
          <w:p w14:paraId="1A966C55" w14:textId="77777777" w:rsidR="005F17F2" w:rsidRPr="00862142" w:rsidRDefault="005F17F2" w:rsidP="005F1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862142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5,95%</w:t>
            </w:r>
          </w:p>
        </w:tc>
      </w:tr>
      <w:tr w:rsidR="005F17F2" w:rsidRPr="00862142" w14:paraId="6110A13B" w14:textId="77777777" w:rsidTr="00234D3E">
        <w:trPr>
          <w:trHeight w:val="317"/>
          <w:jc w:val="center"/>
        </w:trPr>
        <w:tc>
          <w:tcPr>
            <w:tcW w:w="0" w:type="auto"/>
            <w:tcBorders>
              <w:top w:val="nil"/>
              <w:left w:val="single" w:sz="8" w:space="0" w:color="283772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3E755236" w14:textId="77777777" w:rsidR="005F17F2" w:rsidRPr="00862142" w:rsidRDefault="005F17F2" w:rsidP="005F1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862142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Porty 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83772"/>
              <w:right w:val="single" w:sz="8" w:space="0" w:color="283772"/>
            </w:tcBorders>
            <w:shd w:val="clear" w:color="000000" w:fill="E6E9F6"/>
            <w:vAlign w:val="center"/>
            <w:hideMark/>
          </w:tcPr>
          <w:p w14:paraId="35DFAD85" w14:textId="77777777" w:rsidR="005F17F2" w:rsidRPr="00862142" w:rsidRDefault="005F17F2" w:rsidP="005F1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</w:pPr>
            <w:r w:rsidRPr="00862142">
              <w:rPr>
                <w:rFonts w:ascii="Calibri" w:eastAsia="Times New Roman" w:hAnsi="Calibri" w:cs="Calibri"/>
                <w:color w:val="283772"/>
                <w:szCs w:val="24"/>
                <w:lang w:eastAsia="pl-PL"/>
              </w:rPr>
              <w:t>5,00%</w:t>
            </w:r>
          </w:p>
        </w:tc>
      </w:tr>
    </w:tbl>
    <w:p w14:paraId="56062D13" w14:textId="77777777" w:rsidR="00527143" w:rsidRPr="005E3B4D" w:rsidRDefault="00EF24FC" w:rsidP="005F17F2">
      <w:pPr>
        <w:pStyle w:val="Legenda"/>
        <w:rPr>
          <w:b/>
        </w:rPr>
      </w:pPr>
      <w:bookmarkStart w:id="42" w:name="_Toc216787135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E812E4" w:rsidRPr="00E401F0">
        <w:rPr>
          <w:b/>
        </w:rPr>
        <w:fldChar w:fldCharType="begin"/>
      </w:r>
      <w:r w:rsidR="00E812E4" w:rsidRPr="00E401F0">
        <w:rPr>
          <w:b/>
        </w:rPr>
        <w:instrText xml:space="preserve"> SEQ Tabela \* ARABIC \s 1 </w:instrText>
      </w:r>
      <w:r w:rsidR="00E812E4" w:rsidRPr="00E401F0">
        <w:rPr>
          <w:b/>
        </w:rPr>
        <w:fldChar w:fldCharType="separate"/>
      </w:r>
      <w:r w:rsidR="00E812E4">
        <w:rPr>
          <w:b/>
          <w:noProof/>
        </w:rPr>
        <w:t>4</w:t>
      </w:r>
      <w:r w:rsidR="00E812E4" w:rsidRPr="00E401F0">
        <w:rPr>
          <w:b/>
        </w:rPr>
        <w:fldChar w:fldCharType="end"/>
      </w:r>
      <w:r w:rsidRPr="00E401F0">
        <w:rPr>
          <w:noProof/>
        </w:rPr>
        <w:t xml:space="preserve"> Dynamika portów obsługujących poniżej 1 mln pasażerów</w:t>
      </w:r>
      <w:bookmarkEnd w:id="42"/>
    </w:p>
    <w:p w14:paraId="45FC072C" w14:textId="77777777" w:rsidR="00EF21A5" w:rsidRPr="00E401F0" w:rsidRDefault="00D17090" w:rsidP="00073E90">
      <w:pPr>
        <w:pStyle w:val="Nagwek2"/>
      </w:pPr>
      <w:bookmarkStart w:id="43" w:name="_Toc178665050"/>
      <w:r w:rsidRPr="00E401F0">
        <w:t>Wyniki portów</w:t>
      </w:r>
      <w:r w:rsidR="00073E90" w:rsidRPr="00E401F0">
        <w:t xml:space="preserve"> lotniczych</w:t>
      </w:r>
      <w:r w:rsidRPr="00E401F0">
        <w:t xml:space="preserve"> - narastająco</w:t>
      </w:r>
      <w:bookmarkEnd w:id="43"/>
    </w:p>
    <w:p w14:paraId="70ABF195" w14:textId="0E93B27C" w:rsidR="00527143" w:rsidRDefault="00D92007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W por</w:t>
      </w:r>
      <w:r w:rsidR="00C10BF6">
        <w:rPr>
          <w:rFonts w:cstheme="minorHAnsi"/>
          <w:szCs w:val="24"/>
        </w:rPr>
        <w:t>ównaniu do pierwszej połowy 2024</w:t>
      </w:r>
      <w:r w:rsidR="00527143" w:rsidRPr="00E401F0">
        <w:rPr>
          <w:rFonts w:cstheme="minorHAnsi"/>
          <w:szCs w:val="24"/>
        </w:rPr>
        <w:t xml:space="preserve"> roku największe wzrosty liczbowe wśród portów </w:t>
      </w:r>
      <w:r w:rsidR="00EF24FC" w:rsidRPr="00E401F0">
        <w:rPr>
          <w:rFonts w:cstheme="minorHAnsi"/>
          <w:szCs w:val="24"/>
        </w:rPr>
        <w:t xml:space="preserve">lotniczych </w:t>
      </w:r>
      <w:r w:rsidR="00527143" w:rsidRPr="00E401F0">
        <w:rPr>
          <w:rFonts w:cstheme="minorHAnsi"/>
          <w:szCs w:val="24"/>
        </w:rPr>
        <w:t xml:space="preserve">uzyskały </w:t>
      </w:r>
      <w:r w:rsidR="00863B6D" w:rsidRPr="00E401F0">
        <w:rPr>
          <w:rFonts w:cstheme="minorHAnsi"/>
          <w:szCs w:val="24"/>
        </w:rPr>
        <w:t>Lotnisko Chopina w Warszawie (+</w:t>
      </w:r>
      <w:r w:rsidR="00F40755">
        <w:rPr>
          <w:rFonts w:cstheme="minorHAnsi"/>
          <w:szCs w:val="24"/>
        </w:rPr>
        <w:t>1,</w:t>
      </w:r>
      <w:r w:rsidR="00107A83">
        <w:rPr>
          <w:rFonts w:cstheme="minorHAnsi"/>
          <w:szCs w:val="24"/>
        </w:rPr>
        <w:t>3</w:t>
      </w:r>
      <w:r w:rsidR="00107A83" w:rsidRPr="00E401F0">
        <w:rPr>
          <w:rFonts w:cstheme="minorHAnsi"/>
          <w:szCs w:val="24"/>
        </w:rPr>
        <w:t xml:space="preserve"> </w:t>
      </w:r>
      <w:r w:rsidR="00863B6D" w:rsidRPr="00E401F0">
        <w:rPr>
          <w:rFonts w:cstheme="minorHAnsi"/>
          <w:szCs w:val="24"/>
        </w:rPr>
        <w:t>mln pasażerów), a następnie Port Lotniczy Kraków-Balice (+</w:t>
      </w:r>
      <w:r w:rsidR="00F40755">
        <w:rPr>
          <w:rFonts w:cstheme="minorHAnsi"/>
          <w:szCs w:val="24"/>
        </w:rPr>
        <w:t>953,</w:t>
      </w:r>
      <w:r w:rsidR="00107A83">
        <w:rPr>
          <w:rFonts w:cstheme="minorHAnsi"/>
          <w:szCs w:val="24"/>
        </w:rPr>
        <w:t xml:space="preserve">3 </w:t>
      </w:r>
      <w:r w:rsidR="004F7493">
        <w:rPr>
          <w:rFonts w:cstheme="minorHAnsi"/>
          <w:szCs w:val="24"/>
        </w:rPr>
        <w:t>tys.</w:t>
      </w:r>
      <w:r w:rsidR="00863B6D" w:rsidRPr="00E401F0">
        <w:rPr>
          <w:rFonts w:cstheme="minorHAnsi"/>
          <w:szCs w:val="24"/>
        </w:rPr>
        <w:t xml:space="preserve"> pasażerów) i</w:t>
      </w:r>
      <w:r w:rsidR="00527143" w:rsidRPr="00E401F0">
        <w:rPr>
          <w:rFonts w:cstheme="minorHAnsi"/>
          <w:szCs w:val="24"/>
        </w:rPr>
        <w:t xml:space="preserve"> </w:t>
      </w:r>
      <w:r w:rsidR="004F7493" w:rsidRPr="00E401F0">
        <w:rPr>
          <w:rFonts w:cstheme="minorHAnsi"/>
          <w:szCs w:val="24"/>
        </w:rPr>
        <w:t xml:space="preserve">Katowice-Pyrzowice </w:t>
      </w:r>
      <w:r w:rsidR="00527143" w:rsidRPr="00E401F0">
        <w:rPr>
          <w:rFonts w:cstheme="minorHAnsi"/>
          <w:szCs w:val="24"/>
        </w:rPr>
        <w:t>(+</w:t>
      </w:r>
      <w:r w:rsidR="00F40755">
        <w:rPr>
          <w:rFonts w:cstheme="minorHAnsi"/>
          <w:szCs w:val="24"/>
        </w:rPr>
        <w:t>395,4</w:t>
      </w:r>
      <w:r w:rsidR="00863B6D" w:rsidRPr="00E401F0">
        <w:rPr>
          <w:rFonts w:cstheme="minorHAnsi"/>
          <w:szCs w:val="24"/>
        </w:rPr>
        <w:t xml:space="preserve"> </w:t>
      </w:r>
      <w:r w:rsidR="004F7493">
        <w:rPr>
          <w:rFonts w:cstheme="minorHAnsi"/>
          <w:szCs w:val="24"/>
        </w:rPr>
        <w:t>tys.</w:t>
      </w:r>
      <w:r w:rsidR="00527143" w:rsidRPr="00E401F0">
        <w:rPr>
          <w:rFonts w:cstheme="minorHAnsi"/>
          <w:szCs w:val="24"/>
        </w:rPr>
        <w:t xml:space="preserve">). </w:t>
      </w:r>
    </w:p>
    <w:p w14:paraId="0F5FCFBA" w14:textId="0B662C30" w:rsidR="00F40755" w:rsidRDefault="00AF1D28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Spadki w liczbie obsługiwanych pasażeró</w:t>
      </w:r>
      <w:r w:rsidR="00F40755">
        <w:rPr>
          <w:rFonts w:cstheme="minorHAnsi"/>
          <w:szCs w:val="24"/>
        </w:rPr>
        <w:t>w względem pierwszej połowy 2024</w:t>
      </w:r>
      <w:r>
        <w:rPr>
          <w:rFonts w:cstheme="minorHAnsi"/>
          <w:szCs w:val="24"/>
        </w:rPr>
        <w:t xml:space="preserve"> roku odnotowano w przypadku portów lotnicz</w:t>
      </w:r>
      <w:r w:rsidR="00F40755">
        <w:rPr>
          <w:rFonts w:cstheme="minorHAnsi"/>
          <w:szCs w:val="24"/>
        </w:rPr>
        <w:t>ych</w:t>
      </w:r>
      <w:r w:rsidR="007B5C38">
        <w:rPr>
          <w:rFonts w:cstheme="minorHAnsi"/>
          <w:szCs w:val="24"/>
        </w:rPr>
        <w:t>:</w:t>
      </w:r>
      <w:r w:rsidR="00F40755">
        <w:rPr>
          <w:rFonts w:cstheme="minorHAnsi"/>
          <w:szCs w:val="24"/>
        </w:rPr>
        <w:t xml:space="preserve"> Warszawa-Modlin (o 43,5</w:t>
      </w:r>
      <w:r>
        <w:rPr>
          <w:rFonts w:cstheme="minorHAnsi"/>
          <w:szCs w:val="24"/>
        </w:rPr>
        <w:t xml:space="preserve">%, w związku ze </w:t>
      </w:r>
      <w:r>
        <w:rPr>
          <w:rFonts w:cstheme="minorHAnsi"/>
          <w:szCs w:val="24"/>
        </w:rPr>
        <w:lastRenderedPageBreak/>
        <w:t xml:space="preserve">zmniejszeniem oferowania przez Ryanair), </w:t>
      </w:r>
      <w:r w:rsidR="00F40755">
        <w:rPr>
          <w:rFonts w:cstheme="minorHAnsi"/>
          <w:szCs w:val="24"/>
        </w:rPr>
        <w:t xml:space="preserve">Warszawa-Radom (o 28,8%) oraz Olsztyn-Mazury (o 3%). </w:t>
      </w:r>
    </w:p>
    <w:p w14:paraId="69B0C9F1" w14:textId="10494C88" w:rsidR="00527143" w:rsidRDefault="004F7493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Porty obsługujące</w:t>
      </w:r>
      <w:r w:rsidR="00DB3F6F">
        <w:rPr>
          <w:rFonts w:cstheme="minorHAnsi"/>
          <w:szCs w:val="24"/>
        </w:rPr>
        <w:t xml:space="preserve"> rocznie pasażerów na poziomie</w:t>
      </w:r>
      <w:r>
        <w:rPr>
          <w:rFonts w:cstheme="minorHAnsi"/>
          <w:szCs w:val="24"/>
        </w:rPr>
        <w:t xml:space="preserve"> 1-10</w:t>
      </w:r>
      <w:r w:rsidR="00B25636" w:rsidRPr="00E401F0">
        <w:rPr>
          <w:rFonts w:cstheme="minorHAnsi"/>
          <w:szCs w:val="24"/>
        </w:rPr>
        <w:t xml:space="preserve"> mln </w:t>
      </w:r>
      <w:r w:rsidR="00DB3F6F">
        <w:rPr>
          <w:rFonts w:cstheme="minorHAnsi"/>
          <w:szCs w:val="24"/>
        </w:rPr>
        <w:t>odprawiły</w:t>
      </w:r>
      <w:r w:rsidR="00B25636" w:rsidRPr="00E401F0">
        <w:rPr>
          <w:rFonts w:cstheme="minorHAnsi"/>
          <w:szCs w:val="24"/>
        </w:rPr>
        <w:t xml:space="preserve"> w</w:t>
      </w:r>
      <w:r>
        <w:rPr>
          <w:rFonts w:cstheme="minorHAnsi"/>
          <w:szCs w:val="24"/>
        </w:rPr>
        <w:t xml:space="preserve"> pierwszym półroczu</w:t>
      </w:r>
      <w:r w:rsidR="00B25636" w:rsidRPr="00E401F0">
        <w:rPr>
          <w:rFonts w:cstheme="minorHAnsi"/>
          <w:szCs w:val="24"/>
        </w:rPr>
        <w:t xml:space="preserve"> </w:t>
      </w:r>
      <w:r w:rsidR="00F40755">
        <w:rPr>
          <w:rFonts w:cstheme="minorHAnsi"/>
          <w:szCs w:val="24"/>
        </w:rPr>
        <w:t>2025</w:t>
      </w:r>
      <w:r w:rsidR="00EA13B7">
        <w:rPr>
          <w:rFonts w:cstheme="minorHAnsi"/>
          <w:szCs w:val="24"/>
        </w:rPr>
        <w:t xml:space="preserve"> roku o </w:t>
      </w:r>
      <w:r w:rsidR="00F40755">
        <w:rPr>
          <w:rFonts w:cstheme="minorHAnsi"/>
          <w:szCs w:val="24"/>
        </w:rPr>
        <w:t>86</w:t>
      </w:r>
      <w:r w:rsidR="00107A83">
        <w:rPr>
          <w:rFonts w:cstheme="minorHAnsi"/>
          <w:szCs w:val="24"/>
        </w:rPr>
        <w:t>0,6</w:t>
      </w:r>
      <w:r w:rsidR="00AF1D28">
        <w:rPr>
          <w:rFonts w:cstheme="minorHAnsi"/>
          <w:szCs w:val="24"/>
        </w:rPr>
        <w:t xml:space="preserve"> </w:t>
      </w:r>
      <w:r w:rsidR="00F40755">
        <w:rPr>
          <w:rFonts w:cstheme="minorHAnsi"/>
          <w:szCs w:val="24"/>
        </w:rPr>
        <w:t>tys. pasażerów więcej niż w 2024</w:t>
      </w:r>
      <w:r w:rsidR="00B25636" w:rsidRPr="00E401F0">
        <w:rPr>
          <w:rFonts w:cstheme="minorHAnsi"/>
          <w:szCs w:val="24"/>
        </w:rPr>
        <w:t xml:space="preserve"> roku (+</w:t>
      </w:r>
      <w:r w:rsidR="00F40755">
        <w:rPr>
          <w:rFonts w:cstheme="minorHAnsi"/>
          <w:szCs w:val="24"/>
        </w:rPr>
        <w:t>7,9%)</w:t>
      </w:r>
      <w:r w:rsidR="007804F4">
        <w:rPr>
          <w:rFonts w:cstheme="minorHAnsi"/>
          <w:szCs w:val="24"/>
        </w:rPr>
        <w:t xml:space="preserve">. Z kolei </w:t>
      </w:r>
      <w:r w:rsidR="00DB3F6F">
        <w:rPr>
          <w:rFonts w:cstheme="minorHAnsi"/>
          <w:szCs w:val="24"/>
        </w:rPr>
        <w:t>lotniska</w:t>
      </w:r>
      <w:r w:rsidR="00107A83">
        <w:rPr>
          <w:rFonts w:cstheme="minorHAnsi"/>
          <w:szCs w:val="24"/>
        </w:rPr>
        <w:t xml:space="preserve"> obsługujące</w:t>
      </w:r>
      <w:r w:rsidR="00DB3F6F">
        <w:rPr>
          <w:rFonts w:cstheme="minorHAnsi"/>
          <w:szCs w:val="24"/>
        </w:rPr>
        <w:t xml:space="preserve"> </w:t>
      </w:r>
      <w:r w:rsidR="00527143" w:rsidRPr="00E401F0">
        <w:rPr>
          <w:rFonts w:cstheme="minorHAnsi"/>
          <w:szCs w:val="24"/>
        </w:rPr>
        <w:t xml:space="preserve">poniżej 1 </w:t>
      </w:r>
      <w:r w:rsidR="007804F4">
        <w:rPr>
          <w:rFonts w:cstheme="minorHAnsi"/>
          <w:szCs w:val="24"/>
        </w:rPr>
        <w:t>mln pasażerów rocznie odnotowa</w:t>
      </w:r>
      <w:r w:rsidR="00107A83">
        <w:rPr>
          <w:rFonts w:cstheme="minorHAnsi"/>
          <w:szCs w:val="24"/>
        </w:rPr>
        <w:t>ł</w:t>
      </w:r>
      <w:r w:rsidR="00DB3F6F">
        <w:rPr>
          <w:rFonts w:cstheme="minorHAnsi"/>
          <w:szCs w:val="24"/>
        </w:rPr>
        <w:t>y</w:t>
      </w:r>
      <w:r w:rsidR="00527143" w:rsidRPr="00E401F0">
        <w:rPr>
          <w:rFonts w:cstheme="minorHAnsi"/>
          <w:szCs w:val="24"/>
        </w:rPr>
        <w:t xml:space="preserve"> </w:t>
      </w:r>
      <w:r w:rsidR="007B4A6D" w:rsidRPr="00E401F0">
        <w:rPr>
          <w:rFonts w:cstheme="minorHAnsi"/>
          <w:szCs w:val="24"/>
        </w:rPr>
        <w:t xml:space="preserve">w </w:t>
      </w:r>
      <w:r w:rsidR="00AF1D28">
        <w:rPr>
          <w:rFonts w:cstheme="minorHAnsi"/>
          <w:szCs w:val="24"/>
        </w:rPr>
        <w:t xml:space="preserve">pierwszej połowie </w:t>
      </w:r>
      <w:r w:rsidR="00527143" w:rsidRPr="00E401F0">
        <w:rPr>
          <w:rFonts w:cstheme="minorHAnsi"/>
          <w:szCs w:val="24"/>
        </w:rPr>
        <w:t>202</w:t>
      </w:r>
      <w:r w:rsidR="007804F4">
        <w:rPr>
          <w:rFonts w:cstheme="minorHAnsi"/>
          <w:szCs w:val="24"/>
        </w:rPr>
        <w:t>5</w:t>
      </w:r>
      <w:r w:rsidR="00527143" w:rsidRPr="00E401F0">
        <w:rPr>
          <w:rFonts w:cstheme="minorHAnsi"/>
          <w:szCs w:val="24"/>
        </w:rPr>
        <w:t xml:space="preserve"> roku wzrost liczby pasażerów o </w:t>
      </w:r>
      <w:r w:rsidR="00DB3F6F">
        <w:rPr>
          <w:rFonts w:cstheme="minorHAnsi"/>
          <w:szCs w:val="24"/>
        </w:rPr>
        <w:t>6</w:t>
      </w:r>
      <w:r w:rsidR="00527143" w:rsidRPr="00E401F0">
        <w:rPr>
          <w:rFonts w:cstheme="minorHAnsi"/>
          <w:szCs w:val="24"/>
        </w:rPr>
        <w:t>% (+</w:t>
      </w:r>
      <w:r w:rsidR="00DB3F6F">
        <w:rPr>
          <w:rFonts w:cstheme="minorHAnsi"/>
          <w:szCs w:val="24"/>
        </w:rPr>
        <w:t>51,</w:t>
      </w:r>
      <w:r w:rsidR="00107A83">
        <w:rPr>
          <w:rFonts w:cstheme="minorHAnsi"/>
          <w:szCs w:val="24"/>
        </w:rPr>
        <w:t>6</w:t>
      </w:r>
      <w:r w:rsidR="00107A83" w:rsidRPr="00E401F0">
        <w:rPr>
          <w:rFonts w:cstheme="minorHAnsi"/>
          <w:szCs w:val="24"/>
        </w:rPr>
        <w:t xml:space="preserve"> </w:t>
      </w:r>
      <w:r w:rsidR="00AF1D28">
        <w:rPr>
          <w:rFonts w:cstheme="minorHAnsi"/>
          <w:szCs w:val="24"/>
        </w:rPr>
        <w:t>tys. pasażerów) w porównaniu z analogicznym okresem 2</w:t>
      </w:r>
      <w:r w:rsidR="00527143" w:rsidRPr="00E401F0">
        <w:rPr>
          <w:rFonts w:cstheme="minorHAnsi"/>
          <w:szCs w:val="24"/>
        </w:rPr>
        <w:t>02</w:t>
      </w:r>
      <w:r w:rsidR="00DB3F6F">
        <w:rPr>
          <w:rFonts w:cstheme="minorHAnsi"/>
          <w:szCs w:val="24"/>
        </w:rPr>
        <w:t>4</w:t>
      </w:r>
      <w:r w:rsidR="00323453">
        <w:rPr>
          <w:rFonts w:cstheme="minorHAnsi"/>
          <w:szCs w:val="24"/>
        </w:rPr>
        <w:t xml:space="preserve"> </w:t>
      </w:r>
      <w:r w:rsidR="00AF1D28">
        <w:rPr>
          <w:rFonts w:cstheme="minorHAnsi"/>
          <w:szCs w:val="24"/>
        </w:rPr>
        <w:t>roku</w:t>
      </w:r>
      <w:r w:rsidR="00527143" w:rsidRPr="00E401F0">
        <w:rPr>
          <w:rFonts w:cstheme="minorHAnsi"/>
          <w:szCs w:val="24"/>
        </w:rPr>
        <w:t>.</w:t>
      </w:r>
    </w:p>
    <w:p w14:paraId="3E40054F" w14:textId="77777777" w:rsidR="005D3326" w:rsidRDefault="005D3326" w:rsidP="005D3326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49C3C195" wp14:editId="206F68E3">
            <wp:extent cx="5760000" cy="2728800"/>
            <wp:effectExtent l="0" t="0" r="0" b="0"/>
            <wp:docPr id="56" name="Wykres 56" descr="Wykres przedstawia liczbową różnicę w przewozach pasażerskich oraz ich dynamikę w polskich portach lotniczych w ruchu krajowym i międzynarodowym w minionych kwartałach roku bieżącego i poprzedniego. Dane przedstawione w Tabeli 10.5 poniżej." title="Wykres 10.5 Zmiana przewozów pasażerskich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98091AF" w14:textId="43CD1F2D" w:rsidR="001B72F1" w:rsidRDefault="005D3326" w:rsidP="002F7618">
      <w:pPr>
        <w:pStyle w:val="Legenda"/>
        <w:rPr>
          <w:i w:val="0"/>
          <w:iCs w:val="0"/>
          <w:szCs w:val="22"/>
        </w:rPr>
      </w:pPr>
      <w:bookmarkStart w:id="44" w:name="_Toc219462793"/>
      <w:r w:rsidRPr="005D3326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E812E4">
        <w:rPr>
          <w:b/>
        </w:rPr>
        <w:fldChar w:fldCharType="begin"/>
      </w:r>
      <w:r w:rsidR="00E812E4">
        <w:rPr>
          <w:b/>
        </w:rPr>
        <w:instrText xml:space="preserve"> SEQ Wykres \* ARABIC \s 1 </w:instrText>
      </w:r>
      <w:r w:rsidR="00E812E4">
        <w:rPr>
          <w:b/>
        </w:rPr>
        <w:fldChar w:fldCharType="separate"/>
      </w:r>
      <w:r w:rsidR="00E812E4">
        <w:rPr>
          <w:b/>
          <w:noProof/>
        </w:rPr>
        <w:t>5</w:t>
      </w:r>
      <w:r w:rsidR="00E812E4">
        <w:rPr>
          <w:b/>
        </w:rPr>
        <w:fldChar w:fldCharType="end"/>
      </w:r>
      <w:r w:rsidRPr="00E401F0">
        <w:rPr>
          <w:noProof/>
        </w:rPr>
        <w:t>.</w:t>
      </w:r>
      <w:r w:rsidR="00EF0FBC">
        <w:rPr>
          <w:noProof/>
        </w:rPr>
        <w:t xml:space="preserve"> </w:t>
      </w:r>
      <w:r w:rsidR="001B72F1" w:rsidRPr="001B72F1">
        <w:rPr>
          <w:noProof/>
        </w:rPr>
        <w:t>Zmiana przewozów pasażerskich – kwartał – wykres przedstawia liczbową różnicę w przewozach pasażerskich oraz ich dynamikę w polskich portach lotniczych w ruchu krajowym i międzynarodowym w drugim kwartale 2025 i 2024 roku</w:t>
      </w:r>
      <w:bookmarkEnd w:id="44"/>
    </w:p>
    <w:tbl>
      <w:tblPr>
        <w:tblStyle w:val="Tabelaanaliza"/>
        <w:tblW w:w="4677" w:type="dxa"/>
        <w:jc w:val="center"/>
        <w:tblLayout w:type="fixed"/>
        <w:tblLook w:val="0420" w:firstRow="1" w:lastRow="0" w:firstColumn="0" w:lastColumn="0" w:noHBand="0" w:noVBand="1"/>
        <w:tblCaption w:val="Tabela 10.5 Zmiana przewozów pasażerskich - narastająco"/>
        <w:tblDescription w:val="Tabela przedstawia liczbową różnicę w przewozach pasażerskich oraz ich dynamikę w polskich portach lotniczych w ruchu krajowym i międzynarodowym w minionych kwartałach roku bieżącego i poprzedniego. "/>
      </w:tblPr>
      <w:tblGrid>
        <w:gridCol w:w="1559"/>
        <w:gridCol w:w="1559"/>
        <w:gridCol w:w="1559"/>
      </w:tblGrid>
      <w:tr w:rsidR="001B72F1" w:rsidRPr="003774B0" w14:paraId="51A86FA9" w14:textId="77777777" w:rsidTr="00377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559896332"/>
          <w:trHeight w:val="317"/>
          <w:jc w:val="center"/>
        </w:trPr>
        <w:tc>
          <w:tcPr>
            <w:tcW w:w="1559" w:type="dxa"/>
            <w:vAlign w:val="center"/>
            <w:hideMark/>
          </w:tcPr>
          <w:p w14:paraId="6461B552" w14:textId="77777777" w:rsidR="001B72F1" w:rsidRPr="003774B0" w:rsidRDefault="001B72F1" w:rsidP="00F74D33">
            <w:pPr>
              <w:jc w:val="center"/>
              <w:rPr>
                <w:rFonts w:eastAsia="Times New Roman" w:cstheme="minorHAnsi"/>
                <w:bCs/>
                <w:color w:val="FFFFFF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bCs/>
                <w:color w:val="FFFFFF"/>
                <w:szCs w:val="24"/>
                <w:lang w:eastAsia="pl-PL"/>
              </w:rPr>
              <w:t>Port lotniczy</w:t>
            </w:r>
          </w:p>
        </w:tc>
        <w:tc>
          <w:tcPr>
            <w:tcW w:w="1559" w:type="dxa"/>
            <w:vAlign w:val="center"/>
            <w:hideMark/>
          </w:tcPr>
          <w:p w14:paraId="13760753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bCs/>
                <w:color w:val="FFFFFF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bCs/>
                <w:color w:val="FFFFFF"/>
                <w:szCs w:val="24"/>
                <w:lang w:eastAsia="pl-PL"/>
              </w:rPr>
              <w:t>Wartościowo</w:t>
            </w:r>
          </w:p>
        </w:tc>
        <w:tc>
          <w:tcPr>
            <w:tcW w:w="1559" w:type="dxa"/>
            <w:vAlign w:val="center"/>
            <w:hideMark/>
          </w:tcPr>
          <w:p w14:paraId="3203AA49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bCs/>
                <w:color w:val="FFFFFF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bCs/>
                <w:color w:val="FFFFFF"/>
                <w:szCs w:val="24"/>
                <w:lang w:eastAsia="pl-PL"/>
              </w:rPr>
              <w:t>Procentowo</w:t>
            </w:r>
          </w:p>
        </w:tc>
      </w:tr>
      <w:tr w:rsidR="001B72F1" w:rsidRPr="003774B0" w14:paraId="0A45B38F" w14:textId="77777777" w:rsidTr="00377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59896332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45D088A0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WAW</w:t>
            </w:r>
          </w:p>
        </w:tc>
        <w:tc>
          <w:tcPr>
            <w:tcW w:w="1559" w:type="dxa"/>
            <w:noWrap/>
            <w:vAlign w:val="center"/>
            <w:hideMark/>
          </w:tcPr>
          <w:p w14:paraId="6C1640FB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1 282 679</w:t>
            </w:r>
          </w:p>
        </w:tc>
        <w:tc>
          <w:tcPr>
            <w:tcW w:w="1559" w:type="dxa"/>
            <w:noWrap/>
            <w:vAlign w:val="center"/>
            <w:hideMark/>
          </w:tcPr>
          <w:p w14:paraId="2CC7DBBD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13%</w:t>
            </w:r>
          </w:p>
        </w:tc>
      </w:tr>
      <w:tr w:rsidR="001B72F1" w:rsidRPr="003774B0" w14:paraId="0319B517" w14:textId="77777777" w:rsidTr="00377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559896332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2F063CE2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KRK</w:t>
            </w:r>
          </w:p>
        </w:tc>
        <w:tc>
          <w:tcPr>
            <w:tcW w:w="1559" w:type="dxa"/>
            <w:noWrap/>
            <w:vAlign w:val="center"/>
            <w:hideMark/>
          </w:tcPr>
          <w:p w14:paraId="1D5A6BF7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953 285</w:t>
            </w:r>
          </w:p>
        </w:tc>
        <w:tc>
          <w:tcPr>
            <w:tcW w:w="1559" w:type="dxa"/>
            <w:noWrap/>
            <w:vAlign w:val="center"/>
            <w:hideMark/>
          </w:tcPr>
          <w:p w14:paraId="30ECAF9C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19%</w:t>
            </w:r>
          </w:p>
        </w:tc>
      </w:tr>
      <w:tr w:rsidR="001B72F1" w:rsidRPr="003774B0" w14:paraId="5694A5A3" w14:textId="77777777" w:rsidTr="00377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59896332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0C44D66D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KTW</w:t>
            </w:r>
          </w:p>
        </w:tc>
        <w:tc>
          <w:tcPr>
            <w:tcW w:w="1559" w:type="dxa"/>
            <w:noWrap/>
            <w:vAlign w:val="center"/>
            <w:hideMark/>
          </w:tcPr>
          <w:p w14:paraId="47E2C760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395 402</w:t>
            </w:r>
          </w:p>
        </w:tc>
        <w:tc>
          <w:tcPr>
            <w:tcW w:w="1559" w:type="dxa"/>
            <w:noWrap/>
            <w:vAlign w:val="center"/>
            <w:hideMark/>
          </w:tcPr>
          <w:p w14:paraId="62078C0C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15%</w:t>
            </w:r>
          </w:p>
        </w:tc>
      </w:tr>
      <w:tr w:rsidR="001B72F1" w:rsidRPr="003774B0" w14:paraId="77030CDE" w14:textId="77777777" w:rsidTr="00377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559896332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1FA35308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GDN</w:t>
            </w:r>
          </w:p>
        </w:tc>
        <w:tc>
          <w:tcPr>
            <w:tcW w:w="1559" w:type="dxa"/>
            <w:noWrap/>
            <w:vAlign w:val="center"/>
            <w:hideMark/>
          </w:tcPr>
          <w:p w14:paraId="57B51433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362 246</w:t>
            </w:r>
          </w:p>
        </w:tc>
        <w:tc>
          <w:tcPr>
            <w:tcW w:w="1559" w:type="dxa"/>
            <w:noWrap/>
            <w:vAlign w:val="center"/>
            <w:hideMark/>
          </w:tcPr>
          <w:p w14:paraId="58D4CE81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12%</w:t>
            </w:r>
          </w:p>
        </w:tc>
      </w:tr>
      <w:tr w:rsidR="001B72F1" w:rsidRPr="003774B0" w14:paraId="11F1AEEA" w14:textId="77777777" w:rsidTr="00377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59896332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4B1190F7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WRO</w:t>
            </w:r>
          </w:p>
        </w:tc>
        <w:tc>
          <w:tcPr>
            <w:tcW w:w="1559" w:type="dxa"/>
            <w:noWrap/>
            <w:vAlign w:val="center"/>
            <w:hideMark/>
          </w:tcPr>
          <w:p w14:paraId="7BF3385B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310 659</w:t>
            </w:r>
          </w:p>
        </w:tc>
        <w:tc>
          <w:tcPr>
            <w:tcW w:w="1559" w:type="dxa"/>
            <w:noWrap/>
            <w:vAlign w:val="center"/>
            <w:hideMark/>
          </w:tcPr>
          <w:p w14:paraId="3CC5F917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16%</w:t>
            </w:r>
          </w:p>
        </w:tc>
      </w:tr>
      <w:tr w:rsidR="001B72F1" w:rsidRPr="003774B0" w14:paraId="2963C06E" w14:textId="77777777" w:rsidTr="00377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559896332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7FD00C63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POZ</w:t>
            </w:r>
          </w:p>
        </w:tc>
        <w:tc>
          <w:tcPr>
            <w:tcW w:w="1559" w:type="dxa"/>
            <w:noWrap/>
            <w:vAlign w:val="center"/>
            <w:hideMark/>
          </w:tcPr>
          <w:p w14:paraId="6B7839CF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301 072</w:t>
            </w:r>
          </w:p>
        </w:tc>
        <w:tc>
          <w:tcPr>
            <w:tcW w:w="1559" w:type="dxa"/>
            <w:noWrap/>
            <w:vAlign w:val="center"/>
            <w:hideMark/>
          </w:tcPr>
          <w:p w14:paraId="7E4EA02C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20%</w:t>
            </w:r>
          </w:p>
        </w:tc>
      </w:tr>
      <w:tr w:rsidR="001B72F1" w:rsidRPr="003774B0" w14:paraId="0441D8AE" w14:textId="77777777" w:rsidTr="00377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59896332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72DA0CF5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WMI</w:t>
            </w:r>
          </w:p>
        </w:tc>
        <w:tc>
          <w:tcPr>
            <w:tcW w:w="1559" w:type="dxa"/>
            <w:noWrap/>
            <w:vAlign w:val="center"/>
            <w:hideMark/>
          </w:tcPr>
          <w:p w14:paraId="322FFA68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-596 983</w:t>
            </w:r>
          </w:p>
        </w:tc>
        <w:tc>
          <w:tcPr>
            <w:tcW w:w="1559" w:type="dxa"/>
            <w:noWrap/>
            <w:vAlign w:val="center"/>
            <w:hideMark/>
          </w:tcPr>
          <w:p w14:paraId="75A634BB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-43%</w:t>
            </w:r>
          </w:p>
        </w:tc>
      </w:tr>
      <w:tr w:rsidR="001B72F1" w:rsidRPr="003774B0" w14:paraId="3B72E572" w14:textId="77777777" w:rsidTr="00377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559896332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6D2250AB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RZE</w:t>
            </w:r>
          </w:p>
        </w:tc>
        <w:tc>
          <w:tcPr>
            <w:tcW w:w="1559" w:type="dxa"/>
            <w:noWrap/>
            <w:vAlign w:val="center"/>
            <w:hideMark/>
          </w:tcPr>
          <w:p w14:paraId="587D9892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88 174</w:t>
            </w:r>
          </w:p>
        </w:tc>
        <w:tc>
          <w:tcPr>
            <w:tcW w:w="1559" w:type="dxa"/>
            <w:noWrap/>
            <w:vAlign w:val="center"/>
            <w:hideMark/>
          </w:tcPr>
          <w:p w14:paraId="6552FAF8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19%</w:t>
            </w:r>
          </w:p>
        </w:tc>
      </w:tr>
      <w:tr w:rsidR="001B72F1" w:rsidRPr="003774B0" w14:paraId="56964533" w14:textId="77777777" w:rsidTr="00377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59896332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41D908BA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SZZ</w:t>
            </w:r>
          </w:p>
        </w:tc>
        <w:tc>
          <w:tcPr>
            <w:tcW w:w="1559" w:type="dxa"/>
            <w:noWrap/>
            <w:vAlign w:val="center"/>
            <w:hideMark/>
          </w:tcPr>
          <w:p w14:paraId="3E3097E5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270</w:t>
            </w:r>
          </w:p>
        </w:tc>
        <w:tc>
          <w:tcPr>
            <w:tcW w:w="1559" w:type="dxa"/>
            <w:noWrap/>
            <w:vAlign w:val="center"/>
            <w:hideMark/>
          </w:tcPr>
          <w:p w14:paraId="693FFB3D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0%</w:t>
            </w:r>
          </w:p>
        </w:tc>
      </w:tr>
      <w:tr w:rsidR="001B72F1" w:rsidRPr="003774B0" w14:paraId="39F9C7E2" w14:textId="77777777" w:rsidTr="00377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559896332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5DE9A0E6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BZG</w:t>
            </w:r>
          </w:p>
        </w:tc>
        <w:tc>
          <w:tcPr>
            <w:tcW w:w="1559" w:type="dxa"/>
            <w:noWrap/>
            <w:vAlign w:val="center"/>
            <w:hideMark/>
          </w:tcPr>
          <w:p w14:paraId="66CE7C8E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13 933</w:t>
            </w:r>
          </w:p>
        </w:tc>
        <w:tc>
          <w:tcPr>
            <w:tcW w:w="1559" w:type="dxa"/>
            <w:noWrap/>
            <w:vAlign w:val="center"/>
            <w:hideMark/>
          </w:tcPr>
          <w:p w14:paraId="1A8D4E19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8%</w:t>
            </w:r>
          </w:p>
        </w:tc>
      </w:tr>
      <w:tr w:rsidR="001B72F1" w:rsidRPr="003774B0" w14:paraId="7AAB021F" w14:textId="77777777" w:rsidTr="00377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59896332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3E7608C9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LUZ</w:t>
            </w:r>
          </w:p>
        </w:tc>
        <w:tc>
          <w:tcPr>
            <w:tcW w:w="1559" w:type="dxa"/>
            <w:noWrap/>
            <w:vAlign w:val="center"/>
            <w:hideMark/>
          </w:tcPr>
          <w:p w14:paraId="513BDF22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26 439</w:t>
            </w:r>
          </w:p>
        </w:tc>
        <w:tc>
          <w:tcPr>
            <w:tcW w:w="1559" w:type="dxa"/>
            <w:noWrap/>
            <w:vAlign w:val="center"/>
            <w:hideMark/>
          </w:tcPr>
          <w:p w14:paraId="00EC0C93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15%</w:t>
            </w:r>
          </w:p>
        </w:tc>
      </w:tr>
      <w:tr w:rsidR="001B72F1" w:rsidRPr="003774B0" w14:paraId="196F973C" w14:textId="77777777" w:rsidTr="00377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559896332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0D7D4B3D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LCJ</w:t>
            </w:r>
          </w:p>
        </w:tc>
        <w:tc>
          <w:tcPr>
            <w:tcW w:w="1559" w:type="dxa"/>
            <w:noWrap/>
            <w:vAlign w:val="center"/>
            <w:hideMark/>
          </w:tcPr>
          <w:p w14:paraId="1ABC1870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19 974</w:t>
            </w:r>
          </w:p>
        </w:tc>
        <w:tc>
          <w:tcPr>
            <w:tcW w:w="1559" w:type="dxa"/>
            <w:noWrap/>
            <w:vAlign w:val="center"/>
            <w:hideMark/>
          </w:tcPr>
          <w:p w14:paraId="3D0239C9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10%</w:t>
            </w:r>
          </w:p>
        </w:tc>
      </w:tr>
      <w:tr w:rsidR="001B72F1" w:rsidRPr="003774B0" w14:paraId="4B36B1DF" w14:textId="77777777" w:rsidTr="00377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59896332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690989A6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SZY</w:t>
            </w:r>
          </w:p>
        </w:tc>
        <w:tc>
          <w:tcPr>
            <w:tcW w:w="1559" w:type="dxa"/>
            <w:noWrap/>
            <w:vAlign w:val="center"/>
            <w:hideMark/>
          </w:tcPr>
          <w:p w14:paraId="2DF28FA1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-1 147</w:t>
            </w:r>
          </w:p>
        </w:tc>
        <w:tc>
          <w:tcPr>
            <w:tcW w:w="1559" w:type="dxa"/>
            <w:noWrap/>
            <w:vAlign w:val="center"/>
            <w:hideMark/>
          </w:tcPr>
          <w:p w14:paraId="4D7CE3A9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-3%</w:t>
            </w:r>
          </w:p>
        </w:tc>
      </w:tr>
      <w:tr w:rsidR="001B72F1" w:rsidRPr="003774B0" w14:paraId="7FDDA4D6" w14:textId="77777777" w:rsidTr="00377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559896332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0C528BEF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IEG</w:t>
            </w:r>
          </w:p>
        </w:tc>
        <w:tc>
          <w:tcPr>
            <w:tcW w:w="1559" w:type="dxa"/>
            <w:noWrap/>
            <w:vAlign w:val="center"/>
            <w:hideMark/>
          </w:tcPr>
          <w:p w14:paraId="55CF1415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4 984</w:t>
            </w:r>
          </w:p>
        </w:tc>
        <w:tc>
          <w:tcPr>
            <w:tcW w:w="1559" w:type="dxa"/>
            <w:noWrap/>
            <w:vAlign w:val="center"/>
            <w:hideMark/>
          </w:tcPr>
          <w:p w14:paraId="044255AE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16%</w:t>
            </w:r>
          </w:p>
        </w:tc>
      </w:tr>
      <w:tr w:rsidR="001B72F1" w:rsidRPr="003774B0" w14:paraId="04E4ED3D" w14:textId="77777777" w:rsidTr="00377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559896332"/>
          <w:trHeight w:val="317"/>
          <w:jc w:val="center"/>
        </w:trPr>
        <w:tc>
          <w:tcPr>
            <w:tcW w:w="1559" w:type="dxa"/>
            <w:noWrap/>
            <w:vAlign w:val="center"/>
            <w:hideMark/>
          </w:tcPr>
          <w:p w14:paraId="7509A185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RDO</w:t>
            </w:r>
          </w:p>
        </w:tc>
        <w:tc>
          <w:tcPr>
            <w:tcW w:w="1559" w:type="dxa"/>
            <w:noWrap/>
            <w:vAlign w:val="center"/>
            <w:hideMark/>
          </w:tcPr>
          <w:p w14:paraId="0D866E38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-12 869</w:t>
            </w:r>
          </w:p>
        </w:tc>
        <w:tc>
          <w:tcPr>
            <w:tcW w:w="1559" w:type="dxa"/>
            <w:noWrap/>
            <w:vAlign w:val="center"/>
            <w:hideMark/>
          </w:tcPr>
          <w:p w14:paraId="793F1A67" w14:textId="77777777" w:rsidR="001B72F1" w:rsidRPr="003774B0" w:rsidRDefault="001B72F1" w:rsidP="00F74D33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3774B0">
              <w:rPr>
                <w:rFonts w:eastAsia="Times New Roman" w:cstheme="minorHAnsi"/>
                <w:szCs w:val="24"/>
                <w:lang w:eastAsia="pl-PL"/>
              </w:rPr>
              <w:t>-29%</w:t>
            </w:r>
          </w:p>
        </w:tc>
      </w:tr>
    </w:tbl>
    <w:p w14:paraId="5D6DEE89" w14:textId="3DBAE9A2" w:rsidR="00B25636" w:rsidRPr="002F7618" w:rsidRDefault="00524E1E" w:rsidP="002F7618">
      <w:pPr>
        <w:pStyle w:val="Legenda"/>
        <w:rPr>
          <w:b/>
        </w:rPr>
      </w:pPr>
      <w:bookmarkStart w:id="45" w:name="_Toc216787136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E812E4" w:rsidRPr="00E401F0">
        <w:rPr>
          <w:b/>
        </w:rPr>
        <w:fldChar w:fldCharType="begin"/>
      </w:r>
      <w:r w:rsidR="00E812E4" w:rsidRPr="00E401F0">
        <w:rPr>
          <w:b/>
        </w:rPr>
        <w:instrText xml:space="preserve"> SEQ Tabela \* ARABIC \s 1 </w:instrText>
      </w:r>
      <w:r w:rsidR="00E812E4" w:rsidRPr="00E401F0">
        <w:rPr>
          <w:b/>
        </w:rPr>
        <w:fldChar w:fldCharType="separate"/>
      </w:r>
      <w:r w:rsidR="00E812E4">
        <w:rPr>
          <w:b/>
          <w:noProof/>
        </w:rPr>
        <w:t>5</w:t>
      </w:r>
      <w:r w:rsidR="00E812E4" w:rsidRPr="00E401F0">
        <w:rPr>
          <w:b/>
        </w:rPr>
        <w:fldChar w:fldCharType="end"/>
      </w:r>
      <w:r w:rsidRPr="00E401F0">
        <w:rPr>
          <w:noProof/>
        </w:rPr>
        <w:t xml:space="preserve"> Zmiana przewozów pasażerskich</w:t>
      </w:r>
      <w:r w:rsidR="003774B0">
        <w:rPr>
          <w:noProof/>
        </w:rPr>
        <w:t xml:space="preserve"> - narastająco</w:t>
      </w:r>
      <w:bookmarkEnd w:id="45"/>
    </w:p>
    <w:p w14:paraId="172FCA71" w14:textId="77777777" w:rsidR="00EF21A5" w:rsidRPr="00E401F0" w:rsidRDefault="00D17090" w:rsidP="00073E90">
      <w:pPr>
        <w:pStyle w:val="Nagwek2"/>
      </w:pPr>
      <w:bookmarkStart w:id="46" w:name="_Toc178665051"/>
      <w:r w:rsidRPr="00E401F0">
        <w:lastRenderedPageBreak/>
        <w:t>Wyniki portów</w:t>
      </w:r>
      <w:r w:rsidR="00073E90" w:rsidRPr="00E401F0">
        <w:t xml:space="preserve"> lotniczych</w:t>
      </w:r>
      <w:r w:rsidRPr="00E401F0">
        <w:t xml:space="preserve"> - kwartał</w:t>
      </w:r>
      <w:bookmarkEnd w:id="46"/>
    </w:p>
    <w:p w14:paraId="1F761E87" w14:textId="3807A7FB" w:rsidR="00BB00F9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Porównując </w:t>
      </w:r>
      <w:r w:rsidR="00AE5EBE">
        <w:rPr>
          <w:rFonts w:cstheme="minorHAnsi"/>
          <w:szCs w:val="24"/>
        </w:rPr>
        <w:t>drugi</w:t>
      </w:r>
      <w:r w:rsidRPr="00E401F0">
        <w:rPr>
          <w:rFonts w:cstheme="minorHAnsi"/>
          <w:szCs w:val="24"/>
        </w:rPr>
        <w:t xml:space="preserve"> kwartał 202</w:t>
      </w:r>
      <w:r w:rsidR="00731704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i 202</w:t>
      </w:r>
      <w:r w:rsidR="00731704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największe wzrosty liczbowe wśród portów </w:t>
      </w:r>
      <w:r w:rsidR="00524E1E" w:rsidRPr="00E401F0">
        <w:rPr>
          <w:rFonts w:cstheme="minorHAnsi"/>
          <w:szCs w:val="24"/>
        </w:rPr>
        <w:t>lotniczych</w:t>
      </w:r>
      <w:r w:rsidRPr="00E401F0">
        <w:rPr>
          <w:rFonts w:cstheme="minorHAnsi"/>
          <w:szCs w:val="24"/>
        </w:rPr>
        <w:t xml:space="preserve"> uzyskały</w:t>
      </w:r>
      <w:r w:rsidR="007B5C38">
        <w:rPr>
          <w:rFonts w:cstheme="minorHAnsi"/>
          <w:szCs w:val="24"/>
        </w:rPr>
        <w:t>:</w:t>
      </w:r>
      <w:r w:rsidRPr="00E401F0">
        <w:rPr>
          <w:rFonts w:cstheme="minorHAnsi"/>
          <w:szCs w:val="24"/>
        </w:rPr>
        <w:t xml:space="preserve"> </w:t>
      </w:r>
      <w:r w:rsidR="006926E9" w:rsidRPr="00E401F0">
        <w:rPr>
          <w:rFonts w:cstheme="minorHAnsi"/>
          <w:szCs w:val="24"/>
        </w:rPr>
        <w:t>Lotnisko Chopina w Warszawie (+</w:t>
      </w:r>
      <w:r w:rsidR="00731704">
        <w:rPr>
          <w:rFonts w:cstheme="minorHAnsi"/>
          <w:szCs w:val="24"/>
        </w:rPr>
        <w:t>748</w:t>
      </w:r>
      <w:r w:rsidR="006926E9">
        <w:rPr>
          <w:rFonts w:cstheme="minorHAnsi"/>
          <w:szCs w:val="24"/>
        </w:rPr>
        <w:t>,2 tys. pasażerów),</w:t>
      </w:r>
      <w:r w:rsidR="006926E9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Kraków-Balice (+</w:t>
      </w:r>
      <w:r w:rsidR="006926E9">
        <w:rPr>
          <w:rFonts w:cstheme="minorHAnsi"/>
          <w:szCs w:val="24"/>
        </w:rPr>
        <w:t>4</w:t>
      </w:r>
      <w:r w:rsidR="00731704">
        <w:rPr>
          <w:rFonts w:cstheme="minorHAnsi"/>
          <w:szCs w:val="24"/>
        </w:rPr>
        <w:t>79,9</w:t>
      </w:r>
      <w:r w:rsidRPr="00E401F0">
        <w:rPr>
          <w:rFonts w:cstheme="minorHAnsi"/>
          <w:szCs w:val="24"/>
        </w:rPr>
        <w:t xml:space="preserve"> tys.)</w:t>
      </w:r>
      <w:r w:rsidR="00524E1E" w:rsidRPr="00E401F0">
        <w:rPr>
          <w:rFonts w:cstheme="minorHAnsi"/>
          <w:szCs w:val="24"/>
        </w:rPr>
        <w:t xml:space="preserve"> oraz</w:t>
      </w:r>
      <w:r w:rsidR="006926E9">
        <w:rPr>
          <w:rFonts w:cstheme="minorHAnsi"/>
          <w:szCs w:val="24"/>
        </w:rPr>
        <w:t xml:space="preserve"> </w:t>
      </w:r>
      <w:r w:rsidR="00731704">
        <w:rPr>
          <w:rFonts w:cstheme="minorHAnsi"/>
          <w:szCs w:val="24"/>
        </w:rPr>
        <w:t>Katowice-Pyrzowice</w:t>
      </w:r>
      <w:r w:rsidR="000A69DF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(+</w:t>
      </w:r>
      <w:r w:rsidR="00731704">
        <w:rPr>
          <w:rFonts w:cstheme="minorHAnsi"/>
          <w:szCs w:val="24"/>
        </w:rPr>
        <w:t>231,</w:t>
      </w:r>
      <w:r w:rsidR="00C10DD1">
        <w:rPr>
          <w:rFonts w:cstheme="minorHAnsi"/>
          <w:szCs w:val="24"/>
        </w:rPr>
        <w:t>2</w:t>
      </w:r>
      <w:r w:rsidRPr="00E401F0">
        <w:rPr>
          <w:rFonts w:cstheme="minorHAnsi"/>
          <w:szCs w:val="24"/>
        </w:rPr>
        <w:t xml:space="preserve"> tys.). </w:t>
      </w:r>
      <w:r w:rsidR="00BB00F9">
        <w:rPr>
          <w:rFonts w:cstheme="minorHAnsi"/>
          <w:szCs w:val="24"/>
        </w:rPr>
        <w:t xml:space="preserve">Spadki </w:t>
      </w:r>
      <w:r w:rsidR="00731704">
        <w:rPr>
          <w:rFonts w:cstheme="minorHAnsi"/>
          <w:szCs w:val="24"/>
        </w:rPr>
        <w:t xml:space="preserve">z kolei </w:t>
      </w:r>
      <w:r w:rsidR="00EA13B7">
        <w:rPr>
          <w:rFonts w:cstheme="minorHAnsi"/>
          <w:szCs w:val="24"/>
        </w:rPr>
        <w:t>wystąpiły w </w:t>
      </w:r>
      <w:r w:rsidR="00BB00F9">
        <w:rPr>
          <w:rFonts w:cstheme="minorHAnsi"/>
          <w:szCs w:val="24"/>
        </w:rPr>
        <w:t>przypadku portów lotniczych</w:t>
      </w:r>
      <w:r w:rsidR="007B5C38">
        <w:rPr>
          <w:rFonts w:cstheme="minorHAnsi"/>
          <w:szCs w:val="24"/>
        </w:rPr>
        <w:t>:</w:t>
      </w:r>
      <w:r w:rsidR="00BB00F9">
        <w:rPr>
          <w:rFonts w:cstheme="minorHAnsi"/>
          <w:szCs w:val="24"/>
        </w:rPr>
        <w:t xml:space="preserve"> Warszawa-Modlin (</w:t>
      </w:r>
      <w:r w:rsidR="00B80190">
        <w:rPr>
          <w:rFonts w:cstheme="minorHAnsi"/>
          <w:szCs w:val="24"/>
        </w:rPr>
        <w:t>42,9</w:t>
      </w:r>
      <w:r w:rsidR="00BB00F9">
        <w:rPr>
          <w:rFonts w:cstheme="minorHAnsi"/>
          <w:szCs w:val="24"/>
        </w:rPr>
        <w:t>%),</w:t>
      </w:r>
      <w:r w:rsidR="00B80190">
        <w:rPr>
          <w:rFonts w:cstheme="minorHAnsi"/>
          <w:szCs w:val="24"/>
        </w:rPr>
        <w:t xml:space="preserve"> Warszawa-Radom (29,1%), oraz Szczecin-Goleniów, choć tu był on stosunkowo niewielki</w:t>
      </w:r>
      <w:r w:rsidR="00C10DD1">
        <w:rPr>
          <w:rFonts w:cstheme="minorHAnsi"/>
          <w:szCs w:val="24"/>
        </w:rPr>
        <w:t xml:space="preserve"> –</w:t>
      </w:r>
      <w:r w:rsidR="00B80190">
        <w:rPr>
          <w:rFonts w:cstheme="minorHAnsi"/>
          <w:szCs w:val="24"/>
        </w:rPr>
        <w:t xml:space="preserve"> o 0,1%.</w:t>
      </w:r>
    </w:p>
    <w:p w14:paraId="117DF3D8" w14:textId="54175591" w:rsidR="00527143" w:rsidRDefault="00B80190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Porty obsługujące 1-10</w:t>
      </w:r>
      <w:r w:rsidR="00524E1E" w:rsidRPr="00E401F0">
        <w:rPr>
          <w:rFonts w:cstheme="minorHAnsi"/>
          <w:szCs w:val="24"/>
        </w:rPr>
        <w:t xml:space="preserve"> mln pasażerów rocznie obsłużyły w </w:t>
      </w:r>
      <w:r w:rsidR="00AE5EBE">
        <w:rPr>
          <w:rFonts w:cstheme="minorHAnsi"/>
          <w:szCs w:val="24"/>
        </w:rPr>
        <w:t>drugim</w:t>
      </w:r>
      <w:r w:rsidR="00524E1E" w:rsidRPr="00E401F0">
        <w:rPr>
          <w:rFonts w:cstheme="minorHAnsi"/>
          <w:szCs w:val="24"/>
        </w:rPr>
        <w:t xml:space="preserve"> kwartale</w:t>
      </w:r>
      <w:r>
        <w:rPr>
          <w:rFonts w:cstheme="minorHAnsi"/>
          <w:szCs w:val="24"/>
        </w:rPr>
        <w:t xml:space="preserve"> 2025 r</w:t>
      </w:r>
      <w:r w:rsidR="00795AE3">
        <w:rPr>
          <w:rFonts w:cstheme="minorHAnsi"/>
          <w:szCs w:val="24"/>
        </w:rPr>
        <w:t>oku</w:t>
      </w:r>
      <w:r w:rsidR="00524E1E" w:rsidRPr="00E401F0">
        <w:rPr>
          <w:rFonts w:cstheme="minorHAnsi"/>
          <w:szCs w:val="24"/>
        </w:rPr>
        <w:t xml:space="preserve"> o </w:t>
      </w:r>
      <w:r>
        <w:rPr>
          <w:rFonts w:cstheme="minorHAnsi"/>
          <w:szCs w:val="24"/>
        </w:rPr>
        <w:t>558,4 tys.</w:t>
      </w:r>
      <w:r w:rsidR="00524E1E" w:rsidRPr="00E401F0">
        <w:rPr>
          <w:rFonts w:cstheme="minorHAnsi"/>
          <w:szCs w:val="24"/>
        </w:rPr>
        <w:t xml:space="preserve"> pasażerów więcej niż w tym samym okresie 202</w:t>
      </w:r>
      <w:r>
        <w:rPr>
          <w:rFonts w:cstheme="minorHAnsi"/>
          <w:szCs w:val="24"/>
        </w:rPr>
        <w:t>4</w:t>
      </w:r>
      <w:r w:rsidR="00C10DD1">
        <w:rPr>
          <w:rFonts w:cstheme="minorHAnsi"/>
          <w:szCs w:val="24"/>
        </w:rPr>
        <w:t xml:space="preserve"> (+8,3%)</w:t>
      </w:r>
      <w:r>
        <w:rPr>
          <w:rFonts w:cstheme="minorHAnsi"/>
          <w:szCs w:val="24"/>
        </w:rPr>
        <w:t>. W przypadku lotnisk mających</w:t>
      </w:r>
      <w:r w:rsidR="002F7618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2112E408" wp14:editId="6D1788B4">
            <wp:simplePos x="0" y="0"/>
            <wp:positionH relativeFrom="column">
              <wp:posOffset>-100800</wp:posOffset>
            </wp:positionH>
            <wp:positionV relativeFrom="paragraph">
              <wp:posOffset>744220</wp:posOffset>
            </wp:positionV>
            <wp:extent cx="5760000" cy="2728800"/>
            <wp:effectExtent l="0" t="0" r="0" b="0"/>
            <wp:wrapTopAndBottom/>
            <wp:docPr id="58" name="Wykres 58" descr="Wykres przedstawia liczbową różnicę w przewozach pasażerskich oraz ich dynamikę w polskich portach lotniczych w ruchu krajowym i międzynarodowym w danym kwartale roku bieżącego i poprzedniego. Dane przedstawione w Tabeli 10.6 poniżej." title="Wykres 10.6 Zmiana przewozów pasażerskich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  <w:r w:rsidR="00527143" w:rsidRPr="00E401F0">
        <w:rPr>
          <w:rFonts w:cstheme="minorHAnsi"/>
          <w:szCs w:val="24"/>
        </w:rPr>
        <w:t xml:space="preserve"> po</w:t>
      </w:r>
      <w:r>
        <w:rPr>
          <w:rFonts w:cstheme="minorHAnsi"/>
          <w:szCs w:val="24"/>
        </w:rPr>
        <w:t>niżej 1 mln pasażerów rocznie był to</w:t>
      </w:r>
      <w:r w:rsidR="00527143" w:rsidRPr="00E401F0">
        <w:rPr>
          <w:rFonts w:cstheme="minorHAnsi"/>
          <w:szCs w:val="24"/>
        </w:rPr>
        <w:t xml:space="preserve"> wzrost o </w:t>
      </w:r>
      <w:r w:rsidR="00C10DD1">
        <w:rPr>
          <w:rFonts w:cstheme="minorHAnsi"/>
          <w:szCs w:val="24"/>
        </w:rPr>
        <w:t>12,7</w:t>
      </w:r>
      <w:r w:rsidR="00527143" w:rsidRPr="00E401F0">
        <w:rPr>
          <w:rFonts w:cstheme="minorHAnsi"/>
          <w:szCs w:val="24"/>
        </w:rPr>
        <w:t>% (+</w:t>
      </w:r>
      <w:r>
        <w:rPr>
          <w:rFonts w:cstheme="minorHAnsi"/>
          <w:szCs w:val="24"/>
        </w:rPr>
        <w:t>63,7 tys. pasażerów).</w:t>
      </w:r>
    </w:p>
    <w:p w14:paraId="214F6DC4" w14:textId="78E60F1B" w:rsidR="003774B0" w:rsidRDefault="00CE2032" w:rsidP="003774B0">
      <w:pPr>
        <w:pStyle w:val="Legenda"/>
        <w:rPr>
          <w:b/>
        </w:rPr>
      </w:pPr>
      <w:bookmarkStart w:id="47" w:name="_Toc219462794"/>
      <w:r w:rsidRPr="00CE2032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E812E4">
        <w:rPr>
          <w:b/>
          <w:noProof/>
        </w:rPr>
        <w:t>6</w:t>
      </w:r>
      <w:r w:rsidR="00F27BCD">
        <w:rPr>
          <w:b/>
        </w:rPr>
        <w:fldChar w:fldCharType="end"/>
      </w:r>
      <w:r w:rsidRPr="00CE2032">
        <w:rPr>
          <w:noProof/>
        </w:rPr>
        <w:t xml:space="preserve"> </w:t>
      </w:r>
      <w:r w:rsidR="001B72F1" w:rsidRPr="001B72F1">
        <w:rPr>
          <w:rFonts w:ascii="Calibri" w:eastAsia="Times New Roman" w:hAnsi="Calibri" w:cs="Calibri"/>
          <w:color w:val="000000"/>
          <w:lang w:eastAsia="pl-PL"/>
        </w:rPr>
        <w:t>Zmiana przewozów pasażerskich – kwartał – wykres przedstawia liczbową różnicę w przewozach pasażerskich oraz ich dynamikę w polskich portach lotniczych w ruchu krajowym i międzynarodowym w drugim kwartale 2025 i 2024 roku</w:t>
      </w:r>
      <w:bookmarkEnd w:id="47"/>
    </w:p>
    <w:tbl>
      <w:tblPr>
        <w:tblStyle w:val="Tabelaanaliza"/>
        <w:tblW w:w="0" w:type="auto"/>
        <w:jc w:val="center"/>
        <w:tblLayout w:type="fixed"/>
        <w:tblLook w:val="0420" w:firstRow="1" w:lastRow="0" w:firstColumn="0" w:lastColumn="0" w:noHBand="0" w:noVBand="1"/>
        <w:tblCaption w:val="Tabela 10.6 Zmiana przewozów pasażerskich – kwartał"/>
        <w:tblDescription w:val="Tabela przedstawia liczbową różnicę w przewozach pasażerskich oraz ich dynamikę w polskich portach lotniczych w ruchu krajowym i międzynarodowym w danym kwartale roku bieżącego i poprzedniego. "/>
      </w:tblPr>
      <w:tblGrid>
        <w:gridCol w:w="1557"/>
        <w:gridCol w:w="1558"/>
        <w:gridCol w:w="1558"/>
      </w:tblGrid>
      <w:tr w:rsidR="003774B0" w:rsidRPr="007D383E" w14:paraId="04C3B502" w14:textId="77777777" w:rsidTr="00377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  <w:tblHeader/>
          <w:jc w:val="center"/>
        </w:trPr>
        <w:tc>
          <w:tcPr>
            <w:tcW w:w="1557" w:type="dxa"/>
            <w:noWrap/>
            <w:vAlign w:val="center"/>
            <w:hideMark/>
          </w:tcPr>
          <w:p w14:paraId="7F32B138" w14:textId="77777777" w:rsidR="003774B0" w:rsidRPr="007D383E" w:rsidRDefault="003774B0" w:rsidP="006E036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7D383E">
              <w:rPr>
                <w:rFonts w:eastAsia="Times New Roman" w:cstheme="minorHAnsi"/>
                <w:szCs w:val="24"/>
                <w:lang w:eastAsia="pl-PL"/>
              </w:rPr>
              <w:t>Port lotniczy</w:t>
            </w:r>
          </w:p>
        </w:tc>
        <w:tc>
          <w:tcPr>
            <w:tcW w:w="1558" w:type="dxa"/>
            <w:noWrap/>
            <w:vAlign w:val="center"/>
            <w:hideMark/>
          </w:tcPr>
          <w:p w14:paraId="56C5BA50" w14:textId="77777777" w:rsidR="003774B0" w:rsidRPr="007D383E" w:rsidRDefault="003774B0" w:rsidP="006E036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7D383E">
              <w:rPr>
                <w:rFonts w:eastAsia="Times New Roman" w:cstheme="minorHAnsi"/>
                <w:szCs w:val="24"/>
                <w:lang w:eastAsia="pl-PL"/>
              </w:rPr>
              <w:t>Wartościowo</w:t>
            </w:r>
          </w:p>
        </w:tc>
        <w:tc>
          <w:tcPr>
            <w:tcW w:w="1558" w:type="dxa"/>
            <w:noWrap/>
            <w:vAlign w:val="center"/>
            <w:hideMark/>
          </w:tcPr>
          <w:p w14:paraId="7A896A66" w14:textId="77777777" w:rsidR="003774B0" w:rsidRPr="007D383E" w:rsidRDefault="003774B0" w:rsidP="006E036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7D383E">
              <w:rPr>
                <w:rFonts w:eastAsia="Times New Roman" w:cstheme="minorHAnsi"/>
                <w:szCs w:val="24"/>
                <w:lang w:eastAsia="pl-PL"/>
              </w:rPr>
              <w:t>Procentowo</w:t>
            </w:r>
          </w:p>
        </w:tc>
      </w:tr>
      <w:tr w:rsidR="009E23EB" w:rsidRPr="007D383E" w14:paraId="5A339165" w14:textId="77777777" w:rsidTr="009E2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6303BB35" w14:textId="77777777" w:rsidR="009E23EB" w:rsidRPr="007D383E" w:rsidRDefault="009E23EB" w:rsidP="009E23EB">
            <w:pPr>
              <w:jc w:val="center"/>
            </w:pPr>
            <w:r w:rsidRPr="00383B4A">
              <w:t>WAW</w:t>
            </w:r>
          </w:p>
        </w:tc>
        <w:tc>
          <w:tcPr>
            <w:tcW w:w="1558" w:type="dxa"/>
            <w:noWrap/>
            <w:vAlign w:val="bottom"/>
            <w:hideMark/>
          </w:tcPr>
          <w:p w14:paraId="2131C3E9" w14:textId="61ED7C1D" w:rsidR="009E23EB" w:rsidRPr="007D383E" w:rsidRDefault="009E23EB" w:rsidP="009E23EB">
            <w:pPr>
              <w:jc w:val="center"/>
            </w:pPr>
            <w:r w:rsidRPr="009E23EB">
              <w:t>748 240</w:t>
            </w:r>
          </w:p>
        </w:tc>
        <w:tc>
          <w:tcPr>
            <w:tcW w:w="1558" w:type="dxa"/>
            <w:noWrap/>
            <w:vAlign w:val="bottom"/>
            <w:hideMark/>
          </w:tcPr>
          <w:p w14:paraId="0D358B74" w14:textId="3E57C60A" w:rsidR="009E23EB" w:rsidRPr="007D383E" w:rsidRDefault="009E23EB" w:rsidP="009E23EB">
            <w:pPr>
              <w:jc w:val="center"/>
            </w:pPr>
            <w:r w:rsidRPr="009E23EB">
              <w:t>14%</w:t>
            </w:r>
          </w:p>
        </w:tc>
      </w:tr>
      <w:tr w:rsidR="009E23EB" w:rsidRPr="007D383E" w14:paraId="1AF808D3" w14:textId="77777777" w:rsidTr="009E23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075DA8A3" w14:textId="77777777" w:rsidR="009E23EB" w:rsidRPr="007D383E" w:rsidRDefault="009E23EB" w:rsidP="009E23EB">
            <w:pPr>
              <w:jc w:val="center"/>
            </w:pPr>
            <w:r w:rsidRPr="00383B4A">
              <w:t>KRK</w:t>
            </w:r>
          </w:p>
        </w:tc>
        <w:tc>
          <w:tcPr>
            <w:tcW w:w="1558" w:type="dxa"/>
            <w:noWrap/>
            <w:vAlign w:val="bottom"/>
            <w:hideMark/>
          </w:tcPr>
          <w:p w14:paraId="2F1B19A2" w14:textId="0CCBA5CD" w:rsidR="009E23EB" w:rsidRPr="007D383E" w:rsidRDefault="009E23EB" w:rsidP="009E23EB">
            <w:pPr>
              <w:jc w:val="center"/>
            </w:pPr>
            <w:r w:rsidRPr="009E23EB">
              <w:t>479 906</w:t>
            </w:r>
          </w:p>
        </w:tc>
        <w:tc>
          <w:tcPr>
            <w:tcW w:w="1558" w:type="dxa"/>
            <w:noWrap/>
            <w:vAlign w:val="bottom"/>
            <w:hideMark/>
          </w:tcPr>
          <w:p w14:paraId="3DB319F8" w14:textId="6DA54FE4" w:rsidR="009E23EB" w:rsidRPr="007D383E" w:rsidRDefault="009E23EB" w:rsidP="009E23EB">
            <w:pPr>
              <w:jc w:val="center"/>
            </w:pPr>
            <w:r w:rsidRPr="009E23EB">
              <w:t>16%</w:t>
            </w:r>
          </w:p>
        </w:tc>
      </w:tr>
      <w:tr w:rsidR="009E23EB" w:rsidRPr="007D383E" w14:paraId="6333F27C" w14:textId="77777777" w:rsidTr="009E2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3877564D" w14:textId="77777777" w:rsidR="009E23EB" w:rsidRPr="007D383E" w:rsidRDefault="009E23EB" w:rsidP="009E23EB">
            <w:pPr>
              <w:jc w:val="center"/>
            </w:pPr>
            <w:r w:rsidRPr="00383B4A">
              <w:t>KTW</w:t>
            </w:r>
          </w:p>
        </w:tc>
        <w:tc>
          <w:tcPr>
            <w:tcW w:w="1558" w:type="dxa"/>
            <w:noWrap/>
            <w:vAlign w:val="bottom"/>
            <w:hideMark/>
          </w:tcPr>
          <w:p w14:paraId="5536A508" w14:textId="0EBC2A24" w:rsidR="009E23EB" w:rsidRPr="007D383E" w:rsidRDefault="009E23EB" w:rsidP="009E23EB">
            <w:pPr>
              <w:jc w:val="center"/>
            </w:pPr>
            <w:r w:rsidRPr="009E23EB">
              <w:t>231 155</w:t>
            </w:r>
          </w:p>
        </w:tc>
        <w:tc>
          <w:tcPr>
            <w:tcW w:w="1558" w:type="dxa"/>
            <w:noWrap/>
            <w:vAlign w:val="bottom"/>
            <w:hideMark/>
          </w:tcPr>
          <w:p w14:paraId="2C6614AD" w14:textId="71885C53" w:rsidR="009E23EB" w:rsidRPr="007D383E" w:rsidRDefault="009E23EB" w:rsidP="009E23EB">
            <w:pPr>
              <w:jc w:val="center"/>
            </w:pPr>
            <w:r w:rsidRPr="009E23EB">
              <w:t>14%</w:t>
            </w:r>
          </w:p>
        </w:tc>
      </w:tr>
      <w:tr w:rsidR="009E23EB" w:rsidRPr="007D383E" w14:paraId="5F2E1C46" w14:textId="77777777" w:rsidTr="009E23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5AEA5D61" w14:textId="77777777" w:rsidR="009E23EB" w:rsidRPr="007D383E" w:rsidRDefault="009E23EB" w:rsidP="009E23EB">
            <w:pPr>
              <w:jc w:val="center"/>
            </w:pPr>
            <w:r w:rsidRPr="00383B4A">
              <w:t>GDN</w:t>
            </w:r>
          </w:p>
        </w:tc>
        <w:tc>
          <w:tcPr>
            <w:tcW w:w="1558" w:type="dxa"/>
            <w:noWrap/>
            <w:vAlign w:val="bottom"/>
            <w:hideMark/>
          </w:tcPr>
          <w:p w14:paraId="6C0D4660" w14:textId="2EEB95AF" w:rsidR="009E23EB" w:rsidRPr="007D383E" w:rsidRDefault="009E23EB" w:rsidP="009E23EB">
            <w:pPr>
              <w:jc w:val="center"/>
            </w:pPr>
            <w:r w:rsidRPr="009E23EB">
              <w:t>215 326</w:t>
            </w:r>
          </w:p>
        </w:tc>
        <w:tc>
          <w:tcPr>
            <w:tcW w:w="1558" w:type="dxa"/>
            <w:noWrap/>
            <w:vAlign w:val="bottom"/>
            <w:hideMark/>
          </w:tcPr>
          <w:p w14:paraId="5451BF8B" w14:textId="33B4FCB5" w:rsidR="009E23EB" w:rsidRPr="007D383E" w:rsidRDefault="009E23EB" w:rsidP="009E23EB">
            <w:pPr>
              <w:jc w:val="center"/>
            </w:pPr>
            <w:r w:rsidRPr="009E23EB">
              <w:t>12%</w:t>
            </w:r>
          </w:p>
        </w:tc>
      </w:tr>
      <w:tr w:rsidR="009E23EB" w:rsidRPr="007D383E" w14:paraId="0B64E3C9" w14:textId="77777777" w:rsidTr="009E2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06FF8F09" w14:textId="77777777" w:rsidR="009E23EB" w:rsidRPr="007D383E" w:rsidRDefault="009E23EB" w:rsidP="009E23EB">
            <w:pPr>
              <w:jc w:val="center"/>
            </w:pPr>
            <w:r w:rsidRPr="00383B4A">
              <w:t>WRO</w:t>
            </w:r>
          </w:p>
        </w:tc>
        <w:tc>
          <w:tcPr>
            <w:tcW w:w="1558" w:type="dxa"/>
            <w:noWrap/>
            <w:vAlign w:val="bottom"/>
            <w:hideMark/>
          </w:tcPr>
          <w:p w14:paraId="151F0B70" w14:textId="21521A93" w:rsidR="009E23EB" w:rsidRPr="007D383E" w:rsidRDefault="009E23EB" w:rsidP="009E23EB">
            <w:pPr>
              <w:jc w:val="center"/>
            </w:pPr>
            <w:r w:rsidRPr="009E23EB">
              <w:t>218 722</w:t>
            </w:r>
          </w:p>
        </w:tc>
        <w:tc>
          <w:tcPr>
            <w:tcW w:w="1558" w:type="dxa"/>
            <w:noWrap/>
            <w:vAlign w:val="bottom"/>
            <w:hideMark/>
          </w:tcPr>
          <w:p w14:paraId="63067FE2" w14:textId="4FED2D69" w:rsidR="009E23EB" w:rsidRPr="007D383E" w:rsidRDefault="009E23EB" w:rsidP="009E23EB">
            <w:pPr>
              <w:jc w:val="center"/>
            </w:pPr>
            <w:r w:rsidRPr="009E23EB">
              <w:t>18%</w:t>
            </w:r>
          </w:p>
        </w:tc>
      </w:tr>
      <w:tr w:rsidR="009E23EB" w:rsidRPr="007D383E" w14:paraId="7E8549FD" w14:textId="77777777" w:rsidTr="009E23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388351F7" w14:textId="77777777" w:rsidR="009E23EB" w:rsidRPr="007D383E" w:rsidRDefault="009E23EB" w:rsidP="009E23EB">
            <w:pPr>
              <w:jc w:val="center"/>
            </w:pPr>
            <w:r w:rsidRPr="00383B4A">
              <w:t>POZ</w:t>
            </w:r>
          </w:p>
        </w:tc>
        <w:tc>
          <w:tcPr>
            <w:tcW w:w="1558" w:type="dxa"/>
            <w:noWrap/>
            <w:vAlign w:val="bottom"/>
            <w:hideMark/>
          </w:tcPr>
          <w:p w14:paraId="20EC3032" w14:textId="23DE8BCB" w:rsidR="009E23EB" w:rsidRPr="007D383E" w:rsidRDefault="009E23EB" w:rsidP="009E23EB">
            <w:pPr>
              <w:jc w:val="center"/>
            </w:pPr>
            <w:r w:rsidRPr="009E23EB">
              <w:t>162 735</w:t>
            </w:r>
          </w:p>
        </w:tc>
        <w:tc>
          <w:tcPr>
            <w:tcW w:w="1558" w:type="dxa"/>
            <w:noWrap/>
            <w:vAlign w:val="bottom"/>
            <w:hideMark/>
          </w:tcPr>
          <w:p w14:paraId="2001C23C" w14:textId="10C9E7CC" w:rsidR="009E23EB" w:rsidRPr="007D383E" w:rsidRDefault="009E23EB" w:rsidP="009E23EB">
            <w:pPr>
              <w:jc w:val="center"/>
            </w:pPr>
            <w:r w:rsidRPr="009E23EB">
              <w:t>16%</w:t>
            </w:r>
          </w:p>
        </w:tc>
      </w:tr>
      <w:tr w:rsidR="009E23EB" w:rsidRPr="007D383E" w14:paraId="38CEBA23" w14:textId="77777777" w:rsidTr="009E2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5A747914" w14:textId="77777777" w:rsidR="009E23EB" w:rsidRPr="007D383E" w:rsidRDefault="009E23EB" w:rsidP="009E23EB">
            <w:pPr>
              <w:jc w:val="center"/>
            </w:pPr>
            <w:r w:rsidRPr="00383B4A">
              <w:t>WMI</w:t>
            </w:r>
          </w:p>
        </w:tc>
        <w:tc>
          <w:tcPr>
            <w:tcW w:w="1558" w:type="dxa"/>
            <w:noWrap/>
            <w:vAlign w:val="bottom"/>
            <w:hideMark/>
          </w:tcPr>
          <w:p w14:paraId="4155CC02" w14:textId="7F0AC690" w:rsidR="009E23EB" w:rsidRPr="007D383E" w:rsidRDefault="009E23EB" w:rsidP="009E23EB">
            <w:pPr>
              <w:jc w:val="center"/>
            </w:pPr>
            <w:r w:rsidRPr="009E23EB">
              <w:t>-334 675</w:t>
            </w:r>
          </w:p>
        </w:tc>
        <w:tc>
          <w:tcPr>
            <w:tcW w:w="1558" w:type="dxa"/>
            <w:noWrap/>
            <w:vAlign w:val="bottom"/>
            <w:hideMark/>
          </w:tcPr>
          <w:p w14:paraId="1380371B" w14:textId="0693B065" w:rsidR="009E23EB" w:rsidRPr="007D383E" w:rsidRDefault="009E23EB" w:rsidP="009E23EB">
            <w:pPr>
              <w:jc w:val="center"/>
            </w:pPr>
            <w:r w:rsidRPr="009E23EB">
              <w:t>-43%</w:t>
            </w:r>
          </w:p>
        </w:tc>
      </w:tr>
      <w:tr w:rsidR="009E23EB" w:rsidRPr="007D383E" w14:paraId="666EF46D" w14:textId="77777777" w:rsidTr="009E23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6DC79473" w14:textId="77777777" w:rsidR="009E23EB" w:rsidRPr="007D383E" w:rsidRDefault="009E23EB" w:rsidP="009E23EB">
            <w:pPr>
              <w:jc w:val="center"/>
            </w:pPr>
            <w:r w:rsidRPr="00383B4A">
              <w:t>RZE</w:t>
            </w:r>
          </w:p>
        </w:tc>
        <w:tc>
          <w:tcPr>
            <w:tcW w:w="1558" w:type="dxa"/>
            <w:noWrap/>
            <w:vAlign w:val="bottom"/>
            <w:hideMark/>
          </w:tcPr>
          <w:p w14:paraId="1C96E169" w14:textId="1A96BD40" w:rsidR="009E23EB" w:rsidRPr="007D383E" w:rsidRDefault="009E23EB" w:rsidP="009E23EB">
            <w:pPr>
              <w:jc w:val="center"/>
            </w:pPr>
            <w:r w:rsidRPr="009E23EB">
              <w:t>65 150</w:t>
            </w:r>
          </w:p>
        </w:tc>
        <w:tc>
          <w:tcPr>
            <w:tcW w:w="1558" w:type="dxa"/>
            <w:noWrap/>
            <w:vAlign w:val="bottom"/>
            <w:hideMark/>
          </w:tcPr>
          <w:p w14:paraId="635246B2" w14:textId="701521BD" w:rsidR="009E23EB" w:rsidRPr="007D383E" w:rsidRDefault="009E23EB" w:rsidP="009E23EB">
            <w:pPr>
              <w:jc w:val="center"/>
            </w:pPr>
            <w:r w:rsidRPr="009E23EB">
              <w:t>23%</w:t>
            </w:r>
          </w:p>
        </w:tc>
      </w:tr>
      <w:tr w:rsidR="009E23EB" w:rsidRPr="007D383E" w14:paraId="4748FBA5" w14:textId="77777777" w:rsidTr="009E2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49A3EAAA" w14:textId="77777777" w:rsidR="009E23EB" w:rsidRPr="007D383E" w:rsidRDefault="009E23EB" w:rsidP="009E23EB">
            <w:pPr>
              <w:jc w:val="center"/>
            </w:pPr>
            <w:r w:rsidRPr="00383B4A">
              <w:t>SZZ</w:t>
            </w:r>
          </w:p>
        </w:tc>
        <w:tc>
          <w:tcPr>
            <w:tcW w:w="1558" w:type="dxa"/>
            <w:noWrap/>
            <w:vAlign w:val="bottom"/>
            <w:hideMark/>
          </w:tcPr>
          <w:p w14:paraId="306E5945" w14:textId="5045D197" w:rsidR="009E23EB" w:rsidRPr="007D383E" w:rsidRDefault="009E23EB" w:rsidP="009E23EB">
            <w:pPr>
              <w:jc w:val="center"/>
            </w:pPr>
            <w:r w:rsidRPr="009E23EB">
              <w:t>-84</w:t>
            </w:r>
          </w:p>
        </w:tc>
        <w:tc>
          <w:tcPr>
            <w:tcW w:w="1558" w:type="dxa"/>
            <w:noWrap/>
            <w:vAlign w:val="bottom"/>
            <w:hideMark/>
          </w:tcPr>
          <w:p w14:paraId="146379EB" w14:textId="3B5EF3AF" w:rsidR="009E23EB" w:rsidRPr="007D383E" w:rsidRDefault="009E23EB" w:rsidP="009E23EB">
            <w:pPr>
              <w:jc w:val="center"/>
            </w:pPr>
            <w:r w:rsidRPr="009E23EB">
              <w:t>0%</w:t>
            </w:r>
          </w:p>
        </w:tc>
      </w:tr>
      <w:tr w:rsidR="009E23EB" w:rsidRPr="007D383E" w14:paraId="7F9B7BC0" w14:textId="77777777" w:rsidTr="009E23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55EAC986" w14:textId="77777777" w:rsidR="009E23EB" w:rsidRPr="007D383E" w:rsidRDefault="009E23EB" w:rsidP="009E23EB">
            <w:pPr>
              <w:jc w:val="center"/>
            </w:pPr>
            <w:r w:rsidRPr="00383B4A">
              <w:t>BZG</w:t>
            </w:r>
          </w:p>
        </w:tc>
        <w:tc>
          <w:tcPr>
            <w:tcW w:w="1558" w:type="dxa"/>
            <w:noWrap/>
            <w:vAlign w:val="bottom"/>
            <w:hideMark/>
          </w:tcPr>
          <w:p w14:paraId="2B41F8B1" w14:textId="46AD41DB" w:rsidR="009E23EB" w:rsidRPr="007D383E" w:rsidRDefault="009E23EB" w:rsidP="009E23EB">
            <w:pPr>
              <w:jc w:val="center"/>
            </w:pPr>
            <w:r w:rsidRPr="009E23EB">
              <w:t>17 626</w:t>
            </w:r>
          </w:p>
        </w:tc>
        <w:tc>
          <w:tcPr>
            <w:tcW w:w="1558" w:type="dxa"/>
            <w:noWrap/>
            <w:vAlign w:val="bottom"/>
            <w:hideMark/>
          </w:tcPr>
          <w:p w14:paraId="1CEE5E11" w14:textId="27F7C448" w:rsidR="009E23EB" w:rsidRPr="007D383E" w:rsidRDefault="009E23EB" w:rsidP="009E23EB">
            <w:pPr>
              <w:jc w:val="center"/>
            </w:pPr>
            <w:r w:rsidRPr="009E23EB">
              <w:t>18%</w:t>
            </w:r>
          </w:p>
        </w:tc>
      </w:tr>
      <w:tr w:rsidR="009E23EB" w:rsidRPr="007D383E" w14:paraId="161714C9" w14:textId="77777777" w:rsidTr="009E2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0AE78331" w14:textId="77777777" w:rsidR="009E23EB" w:rsidRPr="007D383E" w:rsidRDefault="009E23EB" w:rsidP="009E23EB">
            <w:pPr>
              <w:jc w:val="center"/>
            </w:pPr>
            <w:r w:rsidRPr="00383B4A">
              <w:t>LUZ</w:t>
            </w:r>
          </w:p>
        </w:tc>
        <w:tc>
          <w:tcPr>
            <w:tcW w:w="1558" w:type="dxa"/>
            <w:noWrap/>
            <w:vAlign w:val="bottom"/>
            <w:hideMark/>
          </w:tcPr>
          <w:p w14:paraId="6EA0ADD0" w14:textId="7A1652E6" w:rsidR="009E23EB" w:rsidRPr="007D383E" w:rsidRDefault="009E23EB" w:rsidP="009E23EB">
            <w:pPr>
              <w:jc w:val="center"/>
            </w:pPr>
            <w:r w:rsidRPr="009E23EB">
              <w:t>22 296</w:t>
            </w:r>
          </w:p>
        </w:tc>
        <w:tc>
          <w:tcPr>
            <w:tcW w:w="1558" w:type="dxa"/>
            <w:noWrap/>
            <w:vAlign w:val="bottom"/>
            <w:hideMark/>
          </w:tcPr>
          <w:p w14:paraId="2538FB8D" w14:textId="085F610B" w:rsidR="009E23EB" w:rsidRPr="007D383E" w:rsidRDefault="009E23EB" w:rsidP="009E23EB">
            <w:pPr>
              <w:jc w:val="center"/>
            </w:pPr>
            <w:r w:rsidRPr="009E23EB">
              <w:t>20%</w:t>
            </w:r>
          </w:p>
        </w:tc>
      </w:tr>
      <w:tr w:rsidR="009E23EB" w:rsidRPr="007D383E" w14:paraId="6ABB28F7" w14:textId="77777777" w:rsidTr="009E23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0E851E37" w14:textId="77777777" w:rsidR="009E23EB" w:rsidRPr="007D383E" w:rsidRDefault="009E23EB" w:rsidP="009E23EB">
            <w:pPr>
              <w:jc w:val="center"/>
            </w:pPr>
            <w:r w:rsidRPr="00383B4A">
              <w:t>LCJ</w:t>
            </w:r>
          </w:p>
        </w:tc>
        <w:tc>
          <w:tcPr>
            <w:tcW w:w="1558" w:type="dxa"/>
            <w:noWrap/>
            <w:vAlign w:val="bottom"/>
            <w:hideMark/>
          </w:tcPr>
          <w:p w14:paraId="23E4EA7D" w14:textId="6AB86C66" w:rsidR="009E23EB" w:rsidRPr="007D383E" w:rsidRDefault="009E23EB" w:rsidP="009E23EB">
            <w:pPr>
              <w:jc w:val="center"/>
            </w:pPr>
            <w:r w:rsidRPr="009E23EB">
              <w:t>20 075</w:t>
            </w:r>
          </w:p>
        </w:tc>
        <w:tc>
          <w:tcPr>
            <w:tcW w:w="1558" w:type="dxa"/>
            <w:noWrap/>
            <w:vAlign w:val="bottom"/>
            <w:hideMark/>
          </w:tcPr>
          <w:p w14:paraId="20049454" w14:textId="2946D9FE" w:rsidR="009E23EB" w:rsidRPr="007D383E" w:rsidRDefault="009E23EB" w:rsidP="009E23EB">
            <w:pPr>
              <w:jc w:val="center"/>
            </w:pPr>
            <w:r w:rsidRPr="009E23EB">
              <w:t>19%</w:t>
            </w:r>
          </w:p>
        </w:tc>
      </w:tr>
      <w:tr w:rsidR="009E23EB" w:rsidRPr="007D383E" w14:paraId="669AC9E7" w14:textId="77777777" w:rsidTr="009E2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291F6C64" w14:textId="77777777" w:rsidR="009E23EB" w:rsidRPr="007D383E" w:rsidRDefault="009E23EB" w:rsidP="009E23EB">
            <w:pPr>
              <w:jc w:val="center"/>
            </w:pPr>
            <w:r w:rsidRPr="00383B4A">
              <w:t>SZY</w:t>
            </w:r>
          </w:p>
        </w:tc>
        <w:tc>
          <w:tcPr>
            <w:tcW w:w="1558" w:type="dxa"/>
            <w:noWrap/>
            <w:vAlign w:val="bottom"/>
            <w:hideMark/>
          </w:tcPr>
          <w:p w14:paraId="358DF7F1" w14:textId="27080565" w:rsidR="009E23EB" w:rsidRPr="007D383E" w:rsidRDefault="009E23EB" w:rsidP="009E23EB">
            <w:pPr>
              <w:jc w:val="center"/>
            </w:pPr>
            <w:r w:rsidRPr="009E23EB">
              <w:t>10 213</w:t>
            </w:r>
          </w:p>
        </w:tc>
        <w:tc>
          <w:tcPr>
            <w:tcW w:w="1558" w:type="dxa"/>
            <w:noWrap/>
            <w:vAlign w:val="bottom"/>
            <w:hideMark/>
          </w:tcPr>
          <w:p w14:paraId="226DBA8F" w14:textId="6261093F" w:rsidR="009E23EB" w:rsidRPr="007D383E" w:rsidRDefault="009E23EB" w:rsidP="009E23EB">
            <w:pPr>
              <w:jc w:val="center"/>
            </w:pPr>
            <w:r w:rsidRPr="009E23EB">
              <w:t>74%</w:t>
            </w:r>
          </w:p>
        </w:tc>
      </w:tr>
      <w:tr w:rsidR="009E23EB" w:rsidRPr="007D383E" w14:paraId="436E0863" w14:textId="77777777" w:rsidTr="009E23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5B408778" w14:textId="77777777" w:rsidR="009E23EB" w:rsidRPr="007D383E" w:rsidRDefault="009E23EB" w:rsidP="009E23EB">
            <w:pPr>
              <w:jc w:val="center"/>
            </w:pPr>
            <w:r w:rsidRPr="00383B4A">
              <w:lastRenderedPageBreak/>
              <w:t>IEG</w:t>
            </w:r>
          </w:p>
        </w:tc>
        <w:tc>
          <w:tcPr>
            <w:tcW w:w="1558" w:type="dxa"/>
            <w:noWrap/>
            <w:vAlign w:val="bottom"/>
            <w:hideMark/>
          </w:tcPr>
          <w:p w14:paraId="5599FDA7" w14:textId="5EAD2F38" w:rsidR="009E23EB" w:rsidRPr="007D383E" w:rsidRDefault="009E23EB" w:rsidP="009E23EB">
            <w:pPr>
              <w:jc w:val="center"/>
            </w:pPr>
            <w:r w:rsidRPr="009E23EB">
              <w:t>1 165</w:t>
            </w:r>
          </w:p>
        </w:tc>
        <w:tc>
          <w:tcPr>
            <w:tcW w:w="1558" w:type="dxa"/>
            <w:noWrap/>
            <w:vAlign w:val="bottom"/>
            <w:hideMark/>
          </w:tcPr>
          <w:p w14:paraId="0FA4E190" w14:textId="5B5BCD5E" w:rsidR="009E23EB" w:rsidRPr="007D383E" w:rsidRDefault="009E23EB" w:rsidP="009E23EB">
            <w:pPr>
              <w:jc w:val="center"/>
            </w:pPr>
            <w:r w:rsidRPr="009E23EB">
              <w:t>6%</w:t>
            </w:r>
          </w:p>
        </w:tc>
      </w:tr>
      <w:tr w:rsidR="009E23EB" w:rsidRPr="007D383E" w14:paraId="1D7EBF32" w14:textId="77777777" w:rsidTr="009E2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tcW w:w="1557" w:type="dxa"/>
            <w:noWrap/>
            <w:hideMark/>
          </w:tcPr>
          <w:p w14:paraId="6F4484D8" w14:textId="77777777" w:rsidR="009E23EB" w:rsidRPr="007D383E" w:rsidRDefault="009E23EB" w:rsidP="009E23EB">
            <w:pPr>
              <w:jc w:val="center"/>
            </w:pPr>
            <w:r w:rsidRPr="00383B4A">
              <w:t>RDO</w:t>
            </w:r>
          </w:p>
        </w:tc>
        <w:tc>
          <w:tcPr>
            <w:tcW w:w="1558" w:type="dxa"/>
            <w:noWrap/>
            <w:vAlign w:val="bottom"/>
            <w:hideMark/>
          </w:tcPr>
          <w:p w14:paraId="32A94C3A" w14:textId="67DCC3D7" w:rsidR="009E23EB" w:rsidRPr="007D383E" w:rsidRDefault="009E23EB" w:rsidP="009E23EB">
            <w:pPr>
              <w:jc w:val="center"/>
            </w:pPr>
            <w:r w:rsidRPr="009E23EB">
              <w:t>-7 556</w:t>
            </w:r>
          </w:p>
        </w:tc>
        <w:tc>
          <w:tcPr>
            <w:tcW w:w="1558" w:type="dxa"/>
            <w:noWrap/>
            <w:vAlign w:val="bottom"/>
            <w:hideMark/>
          </w:tcPr>
          <w:p w14:paraId="23DE2D5B" w14:textId="318D5023" w:rsidR="009E23EB" w:rsidRPr="007D383E" w:rsidRDefault="009E23EB" w:rsidP="009E23EB">
            <w:pPr>
              <w:jc w:val="center"/>
            </w:pPr>
            <w:r w:rsidRPr="009E23EB">
              <w:t>-29%</w:t>
            </w:r>
          </w:p>
        </w:tc>
      </w:tr>
    </w:tbl>
    <w:p w14:paraId="5E27049E" w14:textId="1E9A5EEF" w:rsidR="003774B0" w:rsidRDefault="00564E6C" w:rsidP="003774B0">
      <w:pPr>
        <w:pStyle w:val="Legenda"/>
        <w:rPr>
          <w:i w:val="0"/>
          <w:iCs w:val="0"/>
          <w:noProof/>
        </w:rPr>
      </w:pPr>
      <w:bookmarkStart w:id="48" w:name="_Toc216787137"/>
      <w:r>
        <w:rPr>
          <w:b/>
        </w:rPr>
        <w:t>Ta</w:t>
      </w:r>
      <w:r w:rsidR="00F66FAD" w:rsidRPr="00E401F0">
        <w:rPr>
          <w:b/>
        </w:rPr>
        <w:t xml:space="preserve">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E812E4">
        <w:rPr>
          <w:b/>
          <w:noProof/>
        </w:rPr>
        <w:t>6</w:t>
      </w:r>
      <w:r w:rsidR="005C03F8" w:rsidRPr="00E401F0">
        <w:rPr>
          <w:b/>
        </w:rPr>
        <w:fldChar w:fldCharType="end"/>
      </w:r>
      <w:r w:rsidR="00F66FAD" w:rsidRPr="00E401F0">
        <w:rPr>
          <w:noProof/>
        </w:rPr>
        <w:t xml:space="preserve"> Zmiana przewozów pasażerskich – kwartał</w:t>
      </w:r>
      <w:bookmarkEnd w:id="48"/>
    </w:p>
    <w:p w14:paraId="0B3F7A39" w14:textId="77777777" w:rsidR="003B103F" w:rsidRPr="00DA4DCC" w:rsidRDefault="003C3296" w:rsidP="00DA4DCC">
      <w:pPr>
        <w:pStyle w:val="Nagwek1"/>
        <w:tabs>
          <w:tab w:val="left" w:pos="1701"/>
        </w:tabs>
        <w:ind w:left="1418"/>
        <w:rPr>
          <w:sz w:val="32"/>
          <w:szCs w:val="32"/>
        </w:rPr>
      </w:pPr>
      <w:bookmarkStart w:id="49" w:name="_Toc178665052"/>
      <w:r w:rsidRPr="00DA4DCC">
        <w:rPr>
          <w:sz w:val="32"/>
          <w:szCs w:val="32"/>
        </w:rPr>
        <w:t>Pr</w:t>
      </w:r>
      <w:r w:rsidR="00D17090" w:rsidRPr="00DA4DCC">
        <w:rPr>
          <w:sz w:val="32"/>
          <w:szCs w:val="32"/>
        </w:rPr>
        <w:t>zewozy międzynarodowe –</w:t>
      </w:r>
      <w:r w:rsidR="00B35E70" w:rsidRPr="00DA4DCC">
        <w:rPr>
          <w:sz w:val="32"/>
          <w:szCs w:val="32"/>
        </w:rPr>
        <w:t xml:space="preserve"> </w:t>
      </w:r>
      <w:r w:rsidR="00D17090" w:rsidRPr="00DA4DCC">
        <w:rPr>
          <w:sz w:val="32"/>
          <w:szCs w:val="32"/>
        </w:rPr>
        <w:t>porównanie ACI EUROPE</w:t>
      </w:r>
      <w:bookmarkEnd w:id="49"/>
    </w:p>
    <w:p w14:paraId="1D408B3D" w14:textId="2C5465FE" w:rsidR="00205636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6B6A85">
        <w:rPr>
          <w:rFonts w:cstheme="minorHAnsi"/>
          <w:szCs w:val="24"/>
        </w:rPr>
        <w:t xml:space="preserve">pierwszym półroczu </w:t>
      </w:r>
      <w:r w:rsidR="003B103F" w:rsidRPr="00E401F0">
        <w:rPr>
          <w:rFonts w:cstheme="minorHAnsi"/>
          <w:szCs w:val="24"/>
        </w:rPr>
        <w:t>202</w:t>
      </w:r>
      <w:r w:rsidR="00205636">
        <w:rPr>
          <w:rFonts w:cstheme="minorHAnsi"/>
          <w:szCs w:val="24"/>
        </w:rPr>
        <w:t>5</w:t>
      </w:r>
      <w:r w:rsidR="003B103F" w:rsidRPr="00E401F0">
        <w:rPr>
          <w:rFonts w:cstheme="minorHAnsi"/>
          <w:szCs w:val="24"/>
        </w:rPr>
        <w:t xml:space="preserve"> roku przewozy międzynarodowe w Polsce zan</w:t>
      </w:r>
      <w:r w:rsidR="00727CA1">
        <w:rPr>
          <w:rFonts w:cstheme="minorHAnsi"/>
          <w:szCs w:val="24"/>
        </w:rPr>
        <w:t>otowały wyższą dynamikę ruchu w </w:t>
      </w:r>
      <w:r w:rsidR="003B103F" w:rsidRPr="00E401F0">
        <w:rPr>
          <w:rFonts w:cstheme="minorHAnsi"/>
          <w:szCs w:val="24"/>
        </w:rPr>
        <w:t>porównaniu do przewozów międzynarodowych zrealizowanych przez porty ACI</w:t>
      </w:r>
      <w:r w:rsidR="00A85D41" w:rsidRPr="00E401F0">
        <w:rPr>
          <w:rStyle w:val="Odwoanieprzypisudolnego"/>
          <w:rFonts w:cstheme="minorHAnsi"/>
          <w:szCs w:val="24"/>
        </w:rPr>
        <w:footnoteReference w:id="5"/>
      </w:r>
      <w:r w:rsidR="003B103F" w:rsidRPr="00E401F0">
        <w:rPr>
          <w:rFonts w:cstheme="minorHAnsi"/>
          <w:szCs w:val="24"/>
        </w:rPr>
        <w:t xml:space="preserve"> (o </w:t>
      </w:r>
      <w:r w:rsidR="006B6A85">
        <w:rPr>
          <w:rFonts w:cstheme="minorHAnsi"/>
          <w:szCs w:val="24"/>
        </w:rPr>
        <w:t>6</w:t>
      </w:r>
      <w:r w:rsidR="00205636">
        <w:rPr>
          <w:rFonts w:cstheme="minorHAnsi"/>
          <w:szCs w:val="24"/>
        </w:rPr>
        <w:t>,7</w:t>
      </w:r>
      <w:r w:rsidR="00727CA1">
        <w:rPr>
          <w:rFonts w:cstheme="minorHAnsi"/>
          <w:szCs w:val="24"/>
        </w:rPr>
        <w:t xml:space="preserve"> </w:t>
      </w:r>
      <w:r w:rsidR="007919CB">
        <w:rPr>
          <w:rFonts w:cstheme="minorHAnsi"/>
          <w:szCs w:val="24"/>
        </w:rPr>
        <w:t>punktu procentowego</w:t>
      </w:r>
      <w:r w:rsidR="003B103F" w:rsidRPr="00E401F0">
        <w:rPr>
          <w:rFonts w:cstheme="minorHAnsi"/>
          <w:szCs w:val="24"/>
        </w:rPr>
        <w:t>) względem</w:t>
      </w:r>
      <w:r w:rsidR="006B6A85">
        <w:rPr>
          <w:rFonts w:cstheme="minorHAnsi"/>
          <w:szCs w:val="24"/>
        </w:rPr>
        <w:t xml:space="preserve"> analogicznego okresu</w:t>
      </w:r>
      <w:r w:rsidR="003B103F" w:rsidRPr="00E401F0">
        <w:rPr>
          <w:rFonts w:cstheme="minorHAnsi"/>
          <w:szCs w:val="24"/>
        </w:rPr>
        <w:t xml:space="preserve"> 202</w:t>
      </w:r>
      <w:r w:rsidR="00205636">
        <w:rPr>
          <w:rFonts w:cstheme="minorHAnsi"/>
          <w:szCs w:val="24"/>
        </w:rPr>
        <w:t>4</w:t>
      </w:r>
      <w:r w:rsidR="006B6A85" w:rsidRPr="006B6A85">
        <w:rPr>
          <w:rFonts w:cstheme="minorHAnsi"/>
          <w:szCs w:val="24"/>
        </w:rPr>
        <w:t xml:space="preserve"> </w:t>
      </w:r>
      <w:r w:rsidR="006B6A85" w:rsidRPr="00E401F0">
        <w:rPr>
          <w:rFonts w:cstheme="minorHAnsi"/>
          <w:szCs w:val="24"/>
        </w:rPr>
        <w:t>roku</w:t>
      </w:r>
      <w:r w:rsidR="003B103F" w:rsidRPr="00E401F0">
        <w:rPr>
          <w:rFonts w:cstheme="minorHAnsi"/>
          <w:szCs w:val="24"/>
        </w:rPr>
        <w:t xml:space="preserve">. Wzrost liczby pasażerów w tym okresie wyniósł </w:t>
      </w:r>
      <w:r w:rsidR="00205636">
        <w:rPr>
          <w:rFonts w:cstheme="minorHAnsi"/>
          <w:szCs w:val="24"/>
        </w:rPr>
        <w:t>12,4</w:t>
      </w:r>
      <w:r w:rsidR="003B103F" w:rsidRPr="00E401F0">
        <w:rPr>
          <w:rFonts w:cstheme="minorHAnsi"/>
          <w:szCs w:val="24"/>
        </w:rPr>
        <w:t>%</w:t>
      </w:r>
      <w:r w:rsidR="00205636">
        <w:rPr>
          <w:rFonts w:cstheme="minorHAnsi"/>
          <w:szCs w:val="24"/>
        </w:rPr>
        <w:t>,</w:t>
      </w:r>
      <w:r w:rsidR="003B103F" w:rsidRPr="00E401F0">
        <w:rPr>
          <w:rFonts w:cstheme="minorHAnsi"/>
          <w:szCs w:val="24"/>
        </w:rPr>
        <w:t xml:space="preserve"> zaś w </w:t>
      </w:r>
      <w:r w:rsidR="00205636">
        <w:rPr>
          <w:rFonts w:cstheme="minorHAnsi"/>
          <w:szCs w:val="24"/>
        </w:rPr>
        <w:t xml:space="preserve">samym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A63F15" w:rsidRPr="00E401F0">
        <w:rPr>
          <w:rFonts w:cstheme="minorHAnsi"/>
          <w:szCs w:val="24"/>
        </w:rPr>
        <w:t xml:space="preserve"> </w:t>
      </w:r>
      <w:r w:rsidR="003B103F" w:rsidRPr="00E401F0">
        <w:rPr>
          <w:rFonts w:cstheme="minorHAnsi"/>
          <w:szCs w:val="24"/>
        </w:rPr>
        <w:t xml:space="preserve">odnotowano wzrost o </w:t>
      </w:r>
      <w:r w:rsidR="00205636">
        <w:rPr>
          <w:rFonts w:cstheme="minorHAnsi"/>
          <w:szCs w:val="24"/>
        </w:rPr>
        <w:t>12,2</w:t>
      </w:r>
      <w:r w:rsidR="00A63F15" w:rsidRPr="00E401F0">
        <w:rPr>
          <w:rFonts w:cstheme="minorHAnsi"/>
          <w:szCs w:val="24"/>
        </w:rPr>
        <w:t>%</w:t>
      </w:r>
      <w:r w:rsidR="003B103F" w:rsidRPr="00E401F0">
        <w:rPr>
          <w:rFonts w:cstheme="minorHAnsi"/>
          <w:szCs w:val="24"/>
        </w:rPr>
        <w:t xml:space="preserve"> względem </w:t>
      </w:r>
      <w:r w:rsidR="00205636">
        <w:rPr>
          <w:rFonts w:cstheme="minorHAnsi"/>
          <w:szCs w:val="24"/>
        </w:rPr>
        <w:t xml:space="preserve">analogicznego okresu </w:t>
      </w:r>
      <w:r w:rsidR="003B103F" w:rsidRPr="00E401F0">
        <w:rPr>
          <w:rFonts w:cstheme="minorHAnsi"/>
          <w:szCs w:val="24"/>
        </w:rPr>
        <w:t>202</w:t>
      </w:r>
      <w:r w:rsidR="00205636">
        <w:rPr>
          <w:rFonts w:cstheme="minorHAnsi"/>
          <w:szCs w:val="24"/>
        </w:rPr>
        <w:t>4 roku.</w:t>
      </w:r>
    </w:p>
    <w:p w14:paraId="502A7548" w14:textId="1E3A8A92" w:rsidR="00436981" w:rsidRDefault="006057F7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Z kolei l</w:t>
      </w:r>
      <w:r w:rsidR="003B103F" w:rsidRPr="00E401F0">
        <w:rPr>
          <w:rFonts w:cstheme="minorHAnsi"/>
          <w:szCs w:val="24"/>
        </w:rPr>
        <w:t>iczba</w:t>
      </w:r>
      <w:r w:rsidR="00436981">
        <w:rPr>
          <w:rFonts w:cstheme="minorHAnsi"/>
          <w:szCs w:val="24"/>
        </w:rPr>
        <w:t xml:space="preserve"> międzynarodowych</w:t>
      </w:r>
      <w:r w:rsidR="003B103F" w:rsidRPr="00E401F0">
        <w:rPr>
          <w:rFonts w:cstheme="minorHAnsi"/>
          <w:szCs w:val="24"/>
        </w:rPr>
        <w:t xml:space="preserve"> operacji </w:t>
      </w:r>
      <w:r w:rsidR="003A4616">
        <w:rPr>
          <w:rFonts w:cstheme="minorHAnsi"/>
          <w:szCs w:val="24"/>
        </w:rPr>
        <w:t xml:space="preserve">pasażerskich </w:t>
      </w:r>
      <w:r w:rsidR="00FD7200" w:rsidRPr="00E401F0">
        <w:rPr>
          <w:rFonts w:cstheme="minorHAnsi"/>
          <w:szCs w:val="24"/>
        </w:rPr>
        <w:t xml:space="preserve">w </w:t>
      </w:r>
      <w:r w:rsidR="006B6A85">
        <w:rPr>
          <w:rFonts w:cstheme="minorHAnsi"/>
          <w:szCs w:val="24"/>
        </w:rPr>
        <w:t xml:space="preserve">pierwszej połowie </w:t>
      </w:r>
      <w:r w:rsidR="003A4616">
        <w:rPr>
          <w:rFonts w:cstheme="minorHAnsi"/>
          <w:szCs w:val="24"/>
        </w:rPr>
        <w:t>202</w:t>
      </w:r>
      <w:r w:rsidR="00205636">
        <w:rPr>
          <w:rFonts w:cstheme="minorHAnsi"/>
          <w:szCs w:val="24"/>
        </w:rPr>
        <w:t>5</w:t>
      </w:r>
      <w:r w:rsidR="00FD7200" w:rsidRPr="00E401F0">
        <w:rPr>
          <w:rFonts w:cstheme="minorHAnsi"/>
          <w:szCs w:val="24"/>
        </w:rPr>
        <w:t xml:space="preserve"> roku</w:t>
      </w:r>
      <w:r w:rsidR="00EA13B7">
        <w:rPr>
          <w:rFonts w:cstheme="minorHAnsi"/>
          <w:szCs w:val="24"/>
        </w:rPr>
        <w:t xml:space="preserve"> wzrosła o </w:t>
      </w:r>
      <w:r w:rsidR="00205636">
        <w:rPr>
          <w:rFonts w:cstheme="minorHAnsi"/>
          <w:szCs w:val="24"/>
        </w:rPr>
        <w:t>10,3</w:t>
      </w:r>
      <w:r w:rsidR="00727CA1">
        <w:rPr>
          <w:rFonts w:cstheme="minorHAnsi"/>
          <w:szCs w:val="24"/>
        </w:rPr>
        <w:t>% względem 202</w:t>
      </w:r>
      <w:r w:rsidR="00205636">
        <w:rPr>
          <w:rFonts w:cstheme="minorHAnsi"/>
          <w:szCs w:val="24"/>
        </w:rPr>
        <w:t>4</w:t>
      </w:r>
      <w:r w:rsidR="00727CA1">
        <w:rPr>
          <w:rFonts w:cstheme="minorHAnsi"/>
          <w:szCs w:val="24"/>
        </w:rPr>
        <w:t xml:space="preserve"> roku</w:t>
      </w:r>
      <w:r>
        <w:rPr>
          <w:rFonts w:cstheme="minorHAnsi"/>
          <w:szCs w:val="24"/>
        </w:rPr>
        <w:t xml:space="preserve"> (w</w:t>
      </w:r>
      <w:r w:rsidR="003B103F"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A63F15" w:rsidRPr="00E401F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2025 r</w:t>
      </w:r>
      <w:r w:rsidR="00795AE3">
        <w:rPr>
          <w:rFonts w:cstheme="minorHAnsi"/>
          <w:szCs w:val="24"/>
        </w:rPr>
        <w:t>oku</w:t>
      </w:r>
      <w:r>
        <w:rPr>
          <w:rFonts w:cstheme="minorHAnsi"/>
          <w:szCs w:val="24"/>
        </w:rPr>
        <w:t xml:space="preserve"> </w:t>
      </w:r>
      <w:r w:rsidR="00F0207D">
        <w:rPr>
          <w:rFonts w:cstheme="minorHAnsi"/>
          <w:szCs w:val="24"/>
        </w:rPr>
        <w:t xml:space="preserve">wzrosła o </w:t>
      </w:r>
      <w:r w:rsidR="00436981">
        <w:rPr>
          <w:rFonts w:cstheme="minorHAnsi"/>
          <w:szCs w:val="24"/>
        </w:rPr>
        <w:t>1</w:t>
      </w:r>
      <w:r>
        <w:rPr>
          <w:rFonts w:cstheme="minorHAnsi"/>
          <w:szCs w:val="24"/>
        </w:rPr>
        <w:t>0,5</w:t>
      </w:r>
      <w:r w:rsidR="003B103F" w:rsidRPr="00E401F0">
        <w:rPr>
          <w:rFonts w:cstheme="minorHAnsi"/>
          <w:szCs w:val="24"/>
        </w:rPr>
        <w:t>%</w:t>
      </w:r>
      <w:r>
        <w:rPr>
          <w:rFonts w:cstheme="minorHAnsi"/>
          <w:szCs w:val="24"/>
        </w:rPr>
        <w:t>)</w:t>
      </w:r>
      <w:r w:rsidR="002610D2">
        <w:rPr>
          <w:rFonts w:cstheme="minorHAnsi"/>
          <w:szCs w:val="24"/>
        </w:rPr>
        <w:t>.</w:t>
      </w:r>
    </w:p>
    <w:p w14:paraId="07E227FF" w14:textId="074380CB" w:rsidR="00436981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międzynarodowym ruchu regularnym </w:t>
      </w:r>
      <w:r w:rsidR="001903DD">
        <w:rPr>
          <w:rFonts w:cstheme="minorHAnsi"/>
          <w:szCs w:val="24"/>
        </w:rPr>
        <w:t xml:space="preserve">w </w:t>
      </w:r>
      <w:r w:rsidR="00436981">
        <w:rPr>
          <w:rFonts w:cstheme="minorHAnsi"/>
          <w:szCs w:val="24"/>
        </w:rPr>
        <w:t>pierwszej połowie</w:t>
      </w:r>
      <w:r w:rsidR="00FD7200" w:rsidRPr="00E401F0">
        <w:rPr>
          <w:rFonts w:cstheme="minorHAnsi"/>
          <w:szCs w:val="24"/>
        </w:rPr>
        <w:t xml:space="preserve"> </w:t>
      </w:r>
      <w:r w:rsidR="003A4616">
        <w:rPr>
          <w:rFonts w:cstheme="minorHAnsi"/>
          <w:szCs w:val="24"/>
        </w:rPr>
        <w:t>202</w:t>
      </w:r>
      <w:r w:rsidR="001903DD">
        <w:rPr>
          <w:rFonts w:cstheme="minorHAnsi"/>
          <w:szCs w:val="24"/>
        </w:rPr>
        <w:t>5</w:t>
      </w:r>
      <w:r w:rsidR="003A4616">
        <w:rPr>
          <w:rFonts w:cstheme="minorHAnsi"/>
          <w:szCs w:val="24"/>
        </w:rPr>
        <w:t xml:space="preserve"> </w:t>
      </w:r>
      <w:r w:rsidR="00FD7200" w:rsidRPr="00E401F0">
        <w:rPr>
          <w:rFonts w:cstheme="minorHAnsi"/>
          <w:szCs w:val="24"/>
        </w:rPr>
        <w:t>roku</w:t>
      </w:r>
      <w:r w:rsidR="001903DD">
        <w:rPr>
          <w:rFonts w:cstheme="minorHAnsi"/>
          <w:szCs w:val="24"/>
        </w:rPr>
        <w:t xml:space="preserve"> </w:t>
      </w:r>
      <w:r w:rsidR="001903DD" w:rsidRPr="00E401F0">
        <w:rPr>
          <w:rFonts w:cstheme="minorHAnsi"/>
          <w:szCs w:val="24"/>
        </w:rPr>
        <w:t xml:space="preserve">odnotowano wzrost liczby pasażerów o </w:t>
      </w:r>
      <w:r w:rsidR="001903DD">
        <w:rPr>
          <w:rFonts w:cstheme="minorHAnsi"/>
          <w:szCs w:val="24"/>
        </w:rPr>
        <w:t>11,5%</w:t>
      </w:r>
      <w:r w:rsidRPr="00E401F0">
        <w:rPr>
          <w:rFonts w:cstheme="minorHAnsi"/>
          <w:szCs w:val="24"/>
        </w:rPr>
        <w:t xml:space="preserve"> (+</w:t>
      </w:r>
      <w:r w:rsidR="00436981">
        <w:rPr>
          <w:rFonts w:cstheme="minorHAnsi"/>
          <w:szCs w:val="24"/>
        </w:rPr>
        <w:t>2,5</w:t>
      </w:r>
      <w:r w:rsidRPr="00E401F0">
        <w:rPr>
          <w:rFonts w:cstheme="minorHAnsi"/>
          <w:szCs w:val="24"/>
        </w:rPr>
        <w:t xml:space="preserve"> mln pasażerów</w:t>
      </w:r>
      <w:r w:rsidR="00F0207D">
        <w:rPr>
          <w:rFonts w:cstheme="minorHAnsi"/>
          <w:szCs w:val="24"/>
        </w:rPr>
        <w:t>). W drugim kwartale wzrost ten wyniósł 11,9%(</w:t>
      </w:r>
      <w:r w:rsidR="001903DD">
        <w:rPr>
          <w:rFonts w:cstheme="minorHAnsi"/>
          <w:szCs w:val="24"/>
        </w:rPr>
        <w:t xml:space="preserve">+1,5 mln </w:t>
      </w:r>
      <w:r w:rsidR="00F0207D">
        <w:rPr>
          <w:rFonts w:cstheme="minorHAnsi"/>
          <w:szCs w:val="24"/>
        </w:rPr>
        <w:t>pasażerów</w:t>
      </w:r>
      <w:r w:rsidR="001903DD">
        <w:rPr>
          <w:rFonts w:cstheme="minorHAnsi"/>
          <w:szCs w:val="24"/>
        </w:rPr>
        <w:t xml:space="preserve">). W przypadku zaś przewozów czarterowych </w:t>
      </w:r>
      <w:r w:rsidRPr="00E401F0">
        <w:rPr>
          <w:rFonts w:cstheme="minorHAnsi"/>
          <w:szCs w:val="24"/>
        </w:rPr>
        <w:t>dynamiki</w:t>
      </w:r>
      <w:r w:rsidR="00B35B6E">
        <w:rPr>
          <w:rFonts w:cstheme="minorHAnsi"/>
          <w:szCs w:val="24"/>
        </w:rPr>
        <w:t xml:space="preserve"> ruchu były następujące</w:t>
      </w:r>
      <w:r w:rsidRPr="00E401F0">
        <w:rPr>
          <w:rFonts w:cstheme="minorHAnsi"/>
          <w:szCs w:val="24"/>
        </w:rPr>
        <w:t>:</w:t>
      </w:r>
      <w:r w:rsidR="00B35B6E">
        <w:rPr>
          <w:rFonts w:cstheme="minorHAnsi"/>
          <w:szCs w:val="24"/>
        </w:rPr>
        <w:t xml:space="preserve"> wzrost o</w:t>
      </w:r>
      <w:r w:rsidRPr="00E401F0">
        <w:rPr>
          <w:rFonts w:cstheme="minorHAnsi"/>
          <w:szCs w:val="24"/>
        </w:rPr>
        <w:t xml:space="preserve"> </w:t>
      </w:r>
      <w:r w:rsidR="001903DD">
        <w:rPr>
          <w:rFonts w:cstheme="minorHAnsi"/>
          <w:szCs w:val="24"/>
        </w:rPr>
        <w:t>18,3</w:t>
      </w:r>
      <w:r w:rsidRPr="00E401F0">
        <w:rPr>
          <w:rFonts w:cstheme="minorHAnsi"/>
          <w:szCs w:val="24"/>
        </w:rPr>
        <w:t>% (+</w:t>
      </w:r>
      <w:r w:rsidR="001903DD">
        <w:rPr>
          <w:rFonts w:cstheme="minorHAnsi"/>
          <w:szCs w:val="24"/>
        </w:rPr>
        <w:t>607,3 tys.</w:t>
      </w:r>
      <w:r w:rsidR="00EA13B7">
        <w:rPr>
          <w:rFonts w:cstheme="minorHAnsi"/>
          <w:szCs w:val="24"/>
        </w:rPr>
        <w:t xml:space="preserve"> pasażerów</w:t>
      </w:r>
      <w:r w:rsidR="00B35B6E">
        <w:rPr>
          <w:rFonts w:cstheme="minorHAnsi"/>
          <w:szCs w:val="24"/>
        </w:rPr>
        <w:t>)</w:t>
      </w:r>
      <w:r w:rsidR="001903DD">
        <w:rPr>
          <w:rFonts w:cstheme="minorHAnsi"/>
          <w:szCs w:val="24"/>
        </w:rPr>
        <w:t xml:space="preserve"> w pierwszym półroczu</w:t>
      </w:r>
      <w:r w:rsidR="00EA13B7">
        <w:rPr>
          <w:rFonts w:cstheme="minorHAnsi"/>
          <w:szCs w:val="24"/>
        </w:rPr>
        <w:t xml:space="preserve"> i </w:t>
      </w:r>
      <w:r w:rsidRPr="00E401F0">
        <w:rPr>
          <w:rFonts w:cstheme="minorHAnsi"/>
          <w:szCs w:val="24"/>
        </w:rPr>
        <w:t>+</w:t>
      </w:r>
      <w:r w:rsidR="00B35B6E">
        <w:rPr>
          <w:rFonts w:cstheme="minorHAnsi"/>
          <w:szCs w:val="24"/>
        </w:rPr>
        <w:t>13,</w:t>
      </w:r>
      <w:r w:rsidR="00F0207D">
        <w:rPr>
          <w:rFonts w:cstheme="minorHAnsi"/>
          <w:szCs w:val="24"/>
        </w:rPr>
        <w:t>9</w:t>
      </w:r>
      <w:r w:rsidRPr="00E401F0">
        <w:rPr>
          <w:rFonts w:cstheme="minorHAnsi"/>
          <w:szCs w:val="24"/>
        </w:rPr>
        <w:t>% (+</w:t>
      </w:r>
      <w:r w:rsidR="00F0207D">
        <w:rPr>
          <w:rFonts w:cstheme="minorHAnsi"/>
          <w:szCs w:val="24"/>
        </w:rPr>
        <w:t>338,2</w:t>
      </w:r>
      <w:r w:rsidR="00A63F15" w:rsidRPr="00E401F0">
        <w:rPr>
          <w:rFonts w:cstheme="minorHAnsi"/>
          <w:szCs w:val="24"/>
        </w:rPr>
        <w:t xml:space="preserve"> </w:t>
      </w:r>
      <w:r w:rsidR="00B35B6E">
        <w:rPr>
          <w:rFonts w:cstheme="minorHAnsi"/>
          <w:szCs w:val="24"/>
        </w:rPr>
        <w:t>tys. pasażerów) w drugim kwartale</w:t>
      </w:r>
      <w:r w:rsidRPr="00E401F0">
        <w:rPr>
          <w:rFonts w:cstheme="minorHAnsi"/>
          <w:szCs w:val="24"/>
        </w:rPr>
        <w:t xml:space="preserve">. </w:t>
      </w:r>
    </w:p>
    <w:p w14:paraId="0A251724" w14:textId="6C62C226" w:rsidR="003B103F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Średnia wielkość samolotów </w:t>
      </w:r>
      <w:r w:rsidR="0061772E" w:rsidRPr="00E401F0">
        <w:rPr>
          <w:rFonts w:cstheme="minorHAnsi"/>
          <w:szCs w:val="24"/>
        </w:rPr>
        <w:t xml:space="preserve">w </w:t>
      </w:r>
      <w:r w:rsidR="00436981">
        <w:rPr>
          <w:rFonts w:cstheme="minorHAnsi"/>
          <w:szCs w:val="24"/>
        </w:rPr>
        <w:t xml:space="preserve">pierwszej części </w:t>
      </w:r>
      <w:r w:rsidR="003A4616">
        <w:rPr>
          <w:rFonts w:cstheme="minorHAnsi"/>
          <w:szCs w:val="24"/>
        </w:rPr>
        <w:t>202</w:t>
      </w:r>
      <w:r w:rsidR="008A2779">
        <w:rPr>
          <w:rFonts w:cstheme="minorHAnsi"/>
          <w:szCs w:val="24"/>
        </w:rPr>
        <w:t>5</w:t>
      </w:r>
      <w:r w:rsidR="003A4616">
        <w:rPr>
          <w:rFonts w:cstheme="minorHAnsi"/>
          <w:szCs w:val="24"/>
        </w:rPr>
        <w:t xml:space="preserve"> roku</w:t>
      </w:r>
      <w:r w:rsidRPr="00E401F0">
        <w:rPr>
          <w:rFonts w:cstheme="minorHAnsi"/>
          <w:szCs w:val="24"/>
        </w:rPr>
        <w:t xml:space="preserve"> wzrosła o </w:t>
      </w:r>
      <w:r w:rsidR="008A2779">
        <w:rPr>
          <w:rFonts w:cstheme="minorHAnsi"/>
          <w:szCs w:val="24"/>
        </w:rPr>
        <w:t>2</w:t>
      </w:r>
      <w:r w:rsidRPr="00E401F0">
        <w:rPr>
          <w:rFonts w:cstheme="minorHAnsi"/>
          <w:szCs w:val="24"/>
        </w:rPr>
        <w:t xml:space="preserve"> m</w:t>
      </w:r>
      <w:r w:rsidR="008A2779">
        <w:rPr>
          <w:rFonts w:cstheme="minorHAnsi"/>
          <w:szCs w:val="24"/>
        </w:rPr>
        <w:t>iejsca względem roku 2024</w:t>
      </w:r>
      <w:r w:rsidR="00436981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(odpowiednio</w:t>
      </w:r>
      <w:r w:rsidR="008A2779">
        <w:rPr>
          <w:rFonts w:cstheme="minorHAnsi"/>
          <w:szCs w:val="24"/>
        </w:rPr>
        <w:t xml:space="preserve"> o 3 miejsca</w:t>
      </w:r>
      <w:r w:rsidRPr="00E401F0">
        <w:rPr>
          <w:rFonts w:cstheme="minorHAnsi"/>
          <w:szCs w:val="24"/>
        </w:rPr>
        <w:t xml:space="preserve">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). Oferowanie </w:t>
      </w:r>
      <w:r w:rsidR="0061772E" w:rsidRPr="00E401F0">
        <w:rPr>
          <w:rFonts w:cstheme="minorHAnsi"/>
          <w:szCs w:val="24"/>
        </w:rPr>
        <w:t>w</w:t>
      </w:r>
      <w:r w:rsidR="008A2779">
        <w:rPr>
          <w:rFonts w:cstheme="minorHAnsi"/>
          <w:szCs w:val="24"/>
        </w:rPr>
        <w:t xml:space="preserve"> pierwszym</w:t>
      </w:r>
      <w:r w:rsidR="0061772E" w:rsidRPr="00E401F0">
        <w:rPr>
          <w:rFonts w:cstheme="minorHAnsi"/>
          <w:szCs w:val="24"/>
        </w:rPr>
        <w:t xml:space="preserve"> </w:t>
      </w:r>
      <w:r w:rsidR="00436981">
        <w:rPr>
          <w:rFonts w:cstheme="minorHAnsi"/>
          <w:szCs w:val="24"/>
        </w:rPr>
        <w:t>półroczu</w:t>
      </w:r>
      <w:r w:rsidR="00727CA1">
        <w:rPr>
          <w:rFonts w:cstheme="minorHAnsi"/>
          <w:szCs w:val="24"/>
        </w:rPr>
        <w:t xml:space="preserve"> </w:t>
      </w:r>
      <w:r w:rsidR="008A2779">
        <w:rPr>
          <w:rFonts w:cstheme="minorHAnsi"/>
          <w:szCs w:val="24"/>
        </w:rPr>
        <w:t>2025 r</w:t>
      </w:r>
      <w:r w:rsidR="00795AE3">
        <w:rPr>
          <w:rFonts w:cstheme="minorHAnsi"/>
          <w:szCs w:val="24"/>
        </w:rPr>
        <w:t>oku</w:t>
      </w:r>
      <w:r w:rsidR="008A2779">
        <w:rPr>
          <w:rFonts w:cstheme="minorHAnsi"/>
          <w:szCs w:val="24"/>
        </w:rPr>
        <w:t xml:space="preserve"> </w:t>
      </w:r>
      <w:r w:rsidR="00727CA1">
        <w:rPr>
          <w:rFonts w:cstheme="minorHAnsi"/>
          <w:szCs w:val="24"/>
        </w:rPr>
        <w:t>wzrosło o </w:t>
      </w:r>
      <w:r w:rsidR="008A2779">
        <w:rPr>
          <w:rFonts w:cstheme="minorHAnsi"/>
          <w:szCs w:val="24"/>
        </w:rPr>
        <w:t>11,9</w:t>
      </w:r>
      <w:r w:rsidRPr="00E401F0">
        <w:rPr>
          <w:rFonts w:cstheme="minorHAnsi"/>
          <w:szCs w:val="24"/>
        </w:rPr>
        <w:t xml:space="preserve">% </w:t>
      </w:r>
      <w:r w:rsidR="008A2779">
        <w:rPr>
          <w:rFonts w:cstheme="minorHAnsi"/>
          <w:szCs w:val="24"/>
        </w:rPr>
        <w:t>(</w:t>
      </w:r>
      <w:r w:rsidRPr="00E401F0">
        <w:rPr>
          <w:rFonts w:cstheme="minorHAnsi"/>
          <w:szCs w:val="24"/>
        </w:rPr>
        <w:t xml:space="preserve">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8A2779">
        <w:rPr>
          <w:rFonts w:cstheme="minorHAnsi"/>
          <w:szCs w:val="24"/>
        </w:rPr>
        <w:t xml:space="preserve"> wzrost </w:t>
      </w:r>
      <w:r w:rsidRPr="00E401F0">
        <w:rPr>
          <w:rFonts w:cstheme="minorHAnsi"/>
          <w:szCs w:val="24"/>
        </w:rPr>
        <w:t xml:space="preserve">o </w:t>
      </w:r>
      <w:r w:rsidR="008A2779">
        <w:rPr>
          <w:rFonts w:cstheme="minorHAnsi"/>
          <w:szCs w:val="24"/>
        </w:rPr>
        <w:t>12,5%)</w:t>
      </w:r>
      <w:r w:rsidRPr="00E401F0">
        <w:rPr>
          <w:rFonts w:cstheme="minorHAnsi"/>
          <w:szCs w:val="24"/>
        </w:rPr>
        <w:t xml:space="preserve">. Wskaźnik LF wyniósł </w:t>
      </w:r>
      <w:r w:rsidR="008A2779">
        <w:rPr>
          <w:rFonts w:cstheme="minorHAnsi"/>
          <w:szCs w:val="24"/>
        </w:rPr>
        <w:t>87</w:t>
      </w:r>
      <w:r w:rsidRPr="00E401F0">
        <w:rPr>
          <w:rFonts w:cstheme="minorHAnsi"/>
          <w:szCs w:val="24"/>
        </w:rPr>
        <w:t xml:space="preserve">% </w:t>
      </w:r>
      <w:r w:rsidR="00727CA1">
        <w:rPr>
          <w:rFonts w:cstheme="minorHAnsi"/>
          <w:szCs w:val="24"/>
        </w:rPr>
        <w:t>w </w:t>
      </w:r>
      <w:r w:rsidR="008A2779">
        <w:rPr>
          <w:rFonts w:cstheme="minorHAnsi"/>
          <w:szCs w:val="24"/>
        </w:rPr>
        <w:t>pierwszej połowie 2025</w:t>
      </w:r>
      <w:r w:rsidR="00436981">
        <w:rPr>
          <w:rFonts w:cstheme="minorHAnsi"/>
          <w:szCs w:val="24"/>
        </w:rPr>
        <w:t xml:space="preserve"> roku (</w:t>
      </w:r>
      <w:r w:rsidR="008A2779">
        <w:rPr>
          <w:rFonts w:cstheme="minorHAnsi"/>
          <w:szCs w:val="24"/>
        </w:rPr>
        <w:t>pozostał zatem na tym samym poziomie co w analogicznym okresie 2024 r</w:t>
      </w:r>
      <w:r w:rsidR="00795AE3">
        <w:rPr>
          <w:rFonts w:cstheme="minorHAnsi"/>
          <w:szCs w:val="24"/>
        </w:rPr>
        <w:t>oku</w:t>
      </w:r>
      <w:r w:rsidR="00C61F72">
        <w:rPr>
          <w:rFonts w:cstheme="minorHAnsi"/>
          <w:szCs w:val="24"/>
        </w:rPr>
        <w:t>)</w:t>
      </w:r>
      <w:r w:rsidR="003E70F6">
        <w:rPr>
          <w:rFonts w:cstheme="minorHAnsi"/>
          <w:szCs w:val="24"/>
        </w:rPr>
        <w:t xml:space="preserve"> </w:t>
      </w:r>
      <w:r w:rsidR="00EA13B7">
        <w:rPr>
          <w:rFonts w:cstheme="minorHAnsi"/>
          <w:szCs w:val="24"/>
        </w:rPr>
        <w:t>i </w:t>
      </w:r>
      <w:r w:rsidR="008A2779">
        <w:rPr>
          <w:rFonts w:cstheme="minorHAnsi"/>
          <w:szCs w:val="24"/>
        </w:rPr>
        <w:t>87,2</w:t>
      </w:r>
      <w:r w:rsidRPr="00E401F0">
        <w:rPr>
          <w:rFonts w:cstheme="minorHAnsi"/>
          <w:szCs w:val="24"/>
        </w:rPr>
        <w:t xml:space="preserve">%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436981">
        <w:rPr>
          <w:rFonts w:cstheme="minorHAnsi"/>
          <w:szCs w:val="24"/>
        </w:rPr>
        <w:t xml:space="preserve"> (zmiana o odpowiednio -</w:t>
      </w:r>
      <w:r w:rsidR="008A2779">
        <w:rPr>
          <w:rFonts w:cstheme="minorHAnsi"/>
          <w:szCs w:val="24"/>
        </w:rPr>
        <w:t>0,</w:t>
      </w:r>
      <w:r w:rsidR="00F0207D">
        <w:rPr>
          <w:rFonts w:cstheme="minorHAnsi"/>
          <w:szCs w:val="24"/>
        </w:rPr>
        <w:t>6</w:t>
      </w:r>
      <w:r w:rsidR="00F0207D" w:rsidRPr="00E401F0">
        <w:rPr>
          <w:rFonts w:cstheme="minorHAnsi"/>
          <w:szCs w:val="24"/>
        </w:rPr>
        <w:t xml:space="preserve"> </w:t>
      </w:r>
      <w:r w:rsidR="00436981">
        <w:rPr>
          <w:rFonts w:cstheme="minorHAnsi"/>
          <w:szCs w:val="24"/>
        </w:rPr>
        <w:t>punktu procentowego</w:t>
      </w:r>
      <w:r w:rsidRPr="00E401F0">
        <w:rPr>
          <w:rFonts w:cstheme="minorHAnsi"/>
          <w:szCs w:val="24"/>
        </w:rPr>
        <w:t xml:space="preserve">). </w:t>
      </w:r>
    </w:p>
    <w:p w14:paraId="4BF567B7" w14:textId="77777777" w:rsidR="00CE2032" w:rsidRDefault="00CE2032" w:rsidP="00727CA1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08FBAAAB" wp14:editId="3AE46318">
            <wp:extent cx="3600000" cy="1922400"/>
            <wp:effectExtent l="0" t="0" r="635" b="1905"/>
            <wp:docPr id="59" name="Wykres 59" descr="Wykres porównuje dynamikę przewozów międzynarodowych zrealizowanych w Polsce i portach zrzeszonych w ACI w minionych kwartałach roku bieżącego i poprzedniego. Dane przedstawione w Tabeli 11.1 poniżej." title="Wykres 11.1 Przewozy międzynarodow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0709505" w14:textId="7209A8DE" w:rsidR="003774B0" w:rsidRPr="003774B0" w:rsidRDefault="00CE2032" w:rsidP="00071292">
      <w:pPr>
        <w:pStyle w:val="Legenda"/>
        <w:spacing w:after="120"/>
      </w:pPr>
      <w:bookmarkStart w:id="50" w:name="_Toc219462795"/>
      <w:r w:rsidRPr="00CE2032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11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CE2032">
        <w:rPr>
          <w:noProof/>
        </w:rPr>
        <w:t xml:space="preserve"> </w:t>
      </w:r>
      <w:r w:rsidR="0036763E" w:rsidRPr="0036763E">
        <w:rPr>
          <w:rFonts w:ascii="Calibri" w:eastAsia="Times New Roman" w:hAnsi="Calibri" w:cs="Calibri"/>
          <w:szCs w:val="24"/>
          <w:lang w:eastAsia="pl-PL"/>
        </w:rPr>
        <w:t>Przewozy międzynarodowe – wykres porównuje dynamikę przewozów międzynarodowych zrealizowanych w Polsce i portach zrzeszonych w ACI w pierwszej połowie 2025 i 2024 roku</w:t>
      </w:r>
      <w:bookmarkEnd w:id="50"/>
    </w:p>
    <w:tbl>
      <w:tblPr>
        <w:tblW w:w="346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2.1 Przewozy krajowe"/>
        <w:tblDescription w:val="Tabela porównuje dynamikę przewozów krajowych zrealizowanych w Polsce i portach zrzeszonych w ACI w minionych kwartałach roku bieżącego i poprzedniego. "/>
      </w:tblPr>
      <w:tblGrid>
        <w:gridCol w:w="2020"/>
        <w:gridCol w:w="1440"/>
      </w:tblGrid>
      <w:tr w:rsidR="00951B70" w:rsidRPr="00E401F0" w14:paraId="3EA8F894" w14:textId="77777777" w:rsidTr="003774B0">
        <w:trPr>
          <w:trHeight w:val="317"/>
          <w:tblHeader/>
          <w:jc w:val="center"/>
        </w:trPr>
        <w:tc>
          <w:tcPr>
            <w:tcW w:w="202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0DB53" w14:textId="77777777" w:rsidR="00951B70" w:rsidRPr="00E401F0" w:rsidRDefault="00951B70" w:rsidP="008035AF">
            <w:pPr>
              <w:spacing w:after="0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Międzynarodowe</w:t>
            </w:r>
          </w:p>
        </w:tc>
        <w:tc>
          <w:tcPr>
            <w:tcW w:w="144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AEC52" w14:textId="77777777" w:rsidR="00951B70" w:rsidRPr="00E401F0" w:rsidRDefault="00951B70" w:rsidP="008035A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Wartość</w:t>
            </w:r>
          </w:p>
        </w:tc>
      </w:tr>
      <w:tr w:rsidR="00951B70" w:rsidRPr="00E401F0" w14:paraId="2626B56B" w14:textId="77777777" w:rsidTr="003774B0">
        <w:trPr>
          <w:trHeight w:val="317"/>
          <w:jc w:val="center"/>
        </w:trPr>
        <w:tc>
          <w:tcPr>
            <w:tcW w:w="20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52A18" w14:textId="77777777" w:rsidR="00951B70" w:rsidRPr="00CE2032" w:rsidRDefault="00951B70" w:rsidP="008035A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E2032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3CBCE0" w14:textId="77777777" w:rsidR="00951B70" w:rsidRPr="00E812E4" w:rsidRDefault="00951B70" w:rsidP="008035A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12,</w:t>
            </w:r>
            <w:r w:rsidR="00564E6C">
              <w:rPr>
                <w:rFonts w:cstheme="minorHAnsi"/>
                <w:color w:val="283772"/>
                <w:szCs w:val="24"/>
              </w:rPr>
              <w:t>41</w:t>
            </w:r>
            <w:r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951B70" w:rsidRPr="00E401F0" w14:paraId="1B3F42CF" w14:textId="77777777" w:rsidTr="003774B0">
        <w:trPr>
          <w:trHeight w:val="317"/>
          <w:jc w:val="center"/>
        </w:trPr>
        <w:tc>
          <w:tcPr>
            <w:tcW w:w="202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A8DC2" w14:textId="77777777" w:rsidR="00951B70" w:rsidRPr="00CE2032" w:rsidRDefault="00951B70" w:rsidP="008035A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E2032">
              <w:rPr>
                <w:rFonts w:cstheme="minorHAnsi"/>
                <w:color w:val="283772"/>
                <w:szCs w:val="24"/>
              </w:rPr>
              <w:t>Porty ACI</w:t>
            </w:r>
          </w:p>
        </w:tc>
        <w:tc>
          <w:tcPr>
            <w:tcW w:w="144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ED14AE" w14:textId="77777777" w:rsidR="00951B70" w:rsidRPr="00E812E4" w:rsidRDefault="00951B70" w:rsidP="008035AF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5,70%</w:t>
            </w:r>
          </w:p>
        </w:tc>
      </w:tr>
    </w:tbl>
    <w:p w14:paraId="64F2D2BE" w14:textId="77777777" w:rsidR="002D3C69" w:rsidRPr="00E401F0" w:rsidRDefault="002D3C69" w:rsidP="002F7618">
      <w:pPr>
        <w:pStyle w:val="Legenda"/>
      </w:pPr>
      <w:bookmarkStart w:id="51" w:name="_Toc216787138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11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Przewozy międzynarodowe</w:t>
      </w:r>
      <w:bookmarkEnd w:id="51"/>
    </w:p>
    <w:p w14:paraId="528BB12B" w14:textId="77777777" w:rsidR="003B103F" w:rsidRPr="00E401F0" w:rsidRDefault="00D17090" w:rsidP="005A6434">
      <w:pPr>
        <w:pStyle w:val="Nagwek1"/>
      </w:pPr>
      <w:bookmarkStart w:id="52" w:name="_Toc178665053"/>
      <w:r w:rsidRPr="00E401F0">
        <w:t>Przewozy krajowe – porównanie z ACI EUROPE</w:t>
      </w:r>
      <w:bookmarkEnd w:id="52"/>
    </w:p>
    <w:p w14:paraId="541898E9" w14:textId="592BCD4A" w:rsidR="00195CE2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Dynamika przewozów krajowych w polskich portach lotniczych </w:t>
      </w:r>
      <w:r w:rsidR="007B4A6D" w:rsidRPr="00E401F0">
        <w:rPr>
          <w:rFonts w:cstheme="minorHAnsi"/>
          <w:szCs w:val="24"/>
        </w:rPr>
        <w:t xml:space="preserve">w </w:t>
      </w:r>
      <w:r w:rsidR="00436981">
        <w:rPr>
          <w:rFonts w:cstheme="minorHAnsi"/>
          <w:szCs w:val="24"/>
        </w:rPr>
        <w:t xml:space="preserve">pierwszej połowie </w:t>
      </w:r>
      <w:r w:rsidRPr="00E401F0">
        <w:rPr>
          <w:rFonts w:cstheme="minorHAnsi"/>
          <w:szCs w:val="24"/>
        </w:rPr>
        <w:t>202</w:t>
      </w:r>
      <w:r w:rsidR="007A24B3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</w:t>
      </w:r>
      <w:r w:rsidR="007A24B3">
        <w:rPr>
          <w:rFonts w:cstheme="minorHAnsi"/>
          <w:szCs w:val="24"/>
        </w:rPr>
        <w:t xml:space="preserve">była </w:t>
      </w:r>
      <w:r w:rsidRPr="00E401F0">
        <w:rPr>
          <w:rFonts w:cstheme="minorHAnsi"/>
          <w:szCs w:val="24"/>
        </w:rPr>
        <w:t xml:space="preserve">o </w:t>
      </w:r>
      <w:r w:rsidR="007A24B3">
        <w:rPr>
          <w:rFonts w:cstheme="minorHAnsi"/>
          <w:szCs w:val="24"/>
        </w:rPr>
        <w:t>3,3</w:t>
      </w:r>
      <w:r w:rsidRPr="00E401F0">
        <w:rPr>
          <w:rFonts w:cstheme="minorHAnsi"/>
          <w:szCs w:val="24"/>
        </w:rPr>
        <w:t xml:space="preserve"> </w:t>
      </w:r>
      <w:r w:rsidR="007919CB">
        <w:rPr>
          <w:rFonts w:cstheme="minorHAnsi"/>
          <w:szCs w:val="24"/>
        </w:rPr>
        <w:t>punktu procentowego</w:t>
      </w:r>
      <w:r w:rsidR="007919CB" w:rsidRPr="00E401F0">
        <w:rPr>
          <w:rFonts w:cstheme="minorHAnsi"/>
          <w:szCs w:val="24"/>
        </w:rPr>
        <w:t xml:space="preserve"> </w:t>
      </w:r>
      <w:r w:rsidR="007A24B3">
        <w:rPr>
          <w:rFonts w:cstheme="minorHAnsi"/>
          <w:szCs w:val="24"/>
        </w:rPr>
        <w:t xml:space="preserve">wyższa niż w przypadku portów zrzeszonych w </w:t>
      </w:r>
      <w:r w:rsidRPr="00E401F0">
        <w:rPr>
          <w:rFonts w:cstheme="minorHAnsi"/>
          <w:szCs w:val="24"/>
        </w:rPr>
        <w:t>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6"/>
      </w:r>
      <w:r w:rsidRPr="00E401F0">
        <w:rPr>
          <w:rFonts w:cstheme="minorHAnsi"/>
          <w:szCs w:val="24"/>
        </w:rPr>
        <w:t xml:space="preserve">. </w:t>
      </w:r>
      <w:r w:rsidR="00436981">
        <w:rPr>
          <w:rFonts w:cstheme="minorHAnsi"/>
          <w:szCs w:val="24"/>
        </w:rPr>
        <w:t>L</w:t>
      </w:r>
      <w:r w:rsidRPr="00E401F0">
        <w:rPr>
          <w:rFonts w:cstheme="minorHAnsi"/>
          <w:szCs w:val="24"/>
        </w:rPr>
        <w:t>iczb</w:t>
      </w:r>
      <w:r w:rsidR="00436981">
        <w:rPr>
          <w:rFonts w:cstheme="minorHAnsi"/>
          <w:szCs w:val="24"/>
        </w:rPr>
        <w:t>a</w:t>
      </w:r>
      <w:r w:rsidRPr="00E401F0">
        <w:rPr>
          <w:rFonts w:cstheme="minorHAnsi"/>
          <w:szCs w:val="24"/>
        </w:rPr>
        <w:t xml:space="preserve"> pasażerów w tym okresie </w:t>
      </w:r>
      <w:r w:rsidR="007A24B3">
        <w:rPr>
          <w:rFonts w:cstheme="minorHAnsi"/>
          <w:szCs w:val="24"/>
        </w:rPr>
        <w:t>wzrosła</w:t>
      </w:r>
      <w:r w:rsidR="00436981">
        <w:rPr>
          <w:rFonts w:cstheme="minorHAnsi"/>
          <w:szCs w:val="24"/>
        </w:rPr>
        <w:t xml:space="preserve"> o</w:t>
      </w:r>
      <w:r w:rsidRPr="00E401F0">
        <w:rPr>
          <w:rFonts w:cstheme="minorHAnsi"/>
          <w:szCs w:val="24"/>
        </w:rPr>
        <w:t xml:space="preserve"> </w:t>
      </w:r>
      <w:r w:rsidR="007A24B3">
        <w:rPr>
          <w:rFonts w:cstheme="minorHAnsi"/>
          <w:szCs w:val="24"/>
        </w:rPr>
        <w:t>3</w:t>
      </w:r>
      <w:r w:rsidR="00F0207D">
        <w:rPr>
          <w:rFonts w:cstheme="minorHAnsi"/>
          <w:szCs w:val="24"/>
        </w:rPr>
        <w:t>,5</w:t>
      </w:r>
      <w:r w:rsidRPr="00E401F0">
        <w:rPr>
          <w:rFonts w:cstheme="minorHAnsi"/>
          <w:szCs w:val="24"/>
        </w:rPr>
        <w:t xml:space="preserve">% względem </w:t>
      </w:r>
      <w:r w:rsidR="00436981">
        <w:rPr>
          <w:rFonts w:cstheme="minorHAnsi"/>
          <w:szCs w:val="24"/>
        </w:rPr>
        <w:t xml:space="preserve">analogicznego okresu </w:t>
      </w:r>
      <w:r w:rsidR="00727CA1">
        <w:rPr>
          <w:rFonts w:cstheme="minorHAnsi"/>
          <w:szCs w:val="24"/>
        </w:rPr>
        <w:t>202</w:t>
      </w:r>
      <w:r w:rsidR="007A24B3">
        <w:rPr>
          <w:rFonts w:cstheme="minorHAnsi"/>
          <w:szCs w:val="24"/>
        </w:rPr>
        <w:t>4 roku</w:t>
      </w:r>
      <w:r w:rsidR="00B05401">
        <w:rPr>
          <w:rFonts w:cstheme="minorHAnsi"/>
          <w:szCs w:val="24"/>
        </w:rPr>
        <w:t>. Na taki wynik przewozów krajowych wpłynął przede wszystkim zwiększony ruch w samym drugim kwartale (w pierwszym wzrost był minimalny), w którym to obsłużono 59</w:t>
      </w:r>
      <w:r w:rsidR="00F0207D">
        <w:rPr>
          <w:rFonts w:cstheme="minorHAnsi"/>
          <w:szCs w:val="24"/>
        </w:rPr>
        <w:t>,6</w:t>
      </w:r>
      <w:r w:rsidR="00B05401">
        <w:rPr>
          <w:rFonts w:cstheme="minorHAnsi"/>
          <w:szCs w:val="24"/>
        </w:rPr>
        <w:t xml:space="preserve"> tys. pasażerów więcej, co dało wzrost o 6,4%.</w:t>
      </w:r>
    </w:p>
    <w:p w14:paraId="4EAEF7C3" w14:textId="7D61524F" w:rsidR="004F2BA5" w:rsidRDefault="00B05401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Jeśli chodzi o </w:t>
      </w:r>
      <w:r w:rsidR="00CD3041">
        <w:rPr>
          <w:rFonts w:cstheme="minorHAnsi"/>
          <w:szCs w:val="24"/>
        </w:rPr>
        <w:t>operacje</w:t>
      </w:r>
      <w:r w:rsidR="003B103F" w:rsidRPr="00E401F0">
        <w:rPr>
          <w:rFonts w:cstheme="minorHAnsi"/>
          <w:szCs w:val="24"/>
        </w:rPr>
        <w:t xml:space="preserve"> </w:t>
      </w:r>
      <w:r w:rsidR="00CD3041">
        <w:rPr>
          <w:rFonts w:cstheme="minorHAnsi"/>
          <w:szCs w:val="24"/>
        </w:rPr>
        <w:t>pasażerskie</w:t>
      </w:r>
      <w:r w:rsidR="006412AF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to </w:t>
      </w:r>
      <w:r w:rsidR="00CD3041">
        <w:rPr>
          <w:rFonts w:cstheme="minorHAnsi"/>
          <w:szCs w:val="24"/>
        </w:rPr>
        <w:t xml:space="preserve">liczba </w:t>
      </w:r>
      <w:r w:rsidR="00F0207D">
        <w:rPr>
          <w:rFonts w:cstheme="minorHAnsi"/>
          <w:szCs w:val="24"/>
        </w:rPr>
        <w:t xml:space="preserve">ich </w:t>
      </w:r>
      <w:r w:rsidR="00CD3041">
        <w:rPr>
          <w:rFonts w:cstheme="minorHAnsi"/>
          <w:szCs w:val="24"/>
        </w:rPr>
        <w:t xml:space="preserve">wzrosła </w:t>
      </w:r>
      <w:r w:rsidR="003B103F" w:rsidRPr="00E401F0">
        <w:rPr>
          <w:rFonts w:cstheme="minorHAnsi"/>
          <w:szCs w:val="24"/>
        </w:rPr>
        <w:t xml:space="preserve">względem </w:t>
      </w:r>
      <w:r w:rsidR="00195CE2">
        <w:rPr>
          <w:rFonts w:cstheme="minorHAnsi"/>
          <w:szCs w:val="24"/>
        </w:rPr>
        <w:t>pierwszej połowy</w:t>
      </w:r>
      <w:r w:rsidR="003B103F" w:rsidRPr="00E401F0">
        <w:rPr>
          <w:rFonts w:cstheme="minorHAnsi"/>
          <w:szCs w:val="24"/>
        </w:rPr>
        <w:t xml:space="preserve"> 202</w:t>
      </w:r>
      <w:r w:rsidR="005C1F7B">
        <w:rPr>
          <w:rFonts w:cstheme="minorHAnsi"/>
          <w:szCs w:val="24"/>
        </w:rPr>
        <w:t>4</w:t>
      </w:r>
      <w:r w:rsidR="00195CE2">
        <w:rPr>
          <w:rFonts w:cstheme="minorHAnsi"/>
          <w:szCs w:val="24"/>
        </w:rPr>
        <w:t xml:space="preserve"> roku</w:t>
      </w:r>
      <w:r w:rsidR="00CD3041">
        <w:rPr>
          <w:rFonts w:cstheme="minorHAnsi"/>
          <w:szCs w:val="24"/>
        </w:rPr>
        <w:t xml:space="preserve"> o 3,2%. W samym</w:t>
      </w:r>
      <w:r w:rsidR="003B103F"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CD3041">
        <w:rPr>
          <w:rFonts w:cstheme="minorHAnsi"/>
          <w:szCs w:val="24"/>
        </w:rPr>
        <w:t xml:space="preserve"> także doszło do wzrostu </w:t>
      </w:r>
      <w:r w:rsidR="00F0207D">
        <w:rPr>
          <w:rFonts w:cstheme="minorHAnsi"/>
          <w:szCs w:val="24"/>
        </w:rPr>
        <w:t>(o 7,9</w:t>
      </w:r>
      <w:r w:rsidR="00CD3041">
        <w:rPr>
          <w:rFonts w:cstheme="minorHAnsi"/>
          <w:szCs w:val="24"/>
        </w:rPr>
        <w:t>%</w:t>
      </w:r>
      <w:r w:rsidR="00F0207D">
        <w:rPr>
          <w:rFonts w:cstheme="minorHAnsi"/>
          <w:szCs w:val="24"/>
        </w:rPr>
        <w:t>)</w:t>
      </w:r>
      <w:r w:rsidR="003B103F" w:rsidRPr="00E401F0">
        <w:rPr>
          <w:rFonts w:cstheme="minorHAnsi"/>
          <w:szCs w:val="24"/>
        </w:rPr>
        <w:t xml:space="preserve">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="003B103F" w:rsidRPr="00E401F0">
        <w:rPr>
          <w:rFonts w:cstheme="minorHAnsi"/>
          <w:szCs w:val="24"/>
        </w:rPr>
        <w:t xml:space="preserve"> </w:t>
      </w:r>
      <w:r w:rsidR="00CD3041">
        <w:rPr>
          <w:rFonts w:cstheme="minorHAnsi"/>
          <w:szCs w:val="24"/>
        </w:rPr>
        <w:t xml:space="preserve">2024 </w:t>
      </w:r>
      <w:r w:rsidR="003B103F" w:rsidRPr="00E401F0">
        <w:rPr>
          <w:rFonts w:cstheme="minorHAnsi"/>
          <w:szCs w:val="24"/>
        </w:rPr>
        <w:t xml:space="preserve">roku. </w:t>
      </w:r>
    </w:p>
    <w:p w14:paraId="2963DADE" w14:textId="765EAD9C" w:rsidR="003B103F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Średnia wielkość samolotów </w:t>
      </w:r>
      <w:r w:rsidR="00694EA5">
        <w:rPr>
          <w:rFonts w:cstheme="minorHAnsi"/>
          <w:szCs w:val="24"/>
        </w:rPr>
        <w:t>w pierwszym półroczu 2025 r</w:t>
      </w:r>
      <w:r w:rsidR="00795AE3">
        <w:rPr>
          <w:rFonts w:cstheme="minorHAnsi"/>
          <w:szCs w:val="24"/>
        </w:rPr>
        <w:t>oku</w:t>
      </w:r>
      <w:r w:rsidR="00694EA5">
        <w:rPr>
          <w:rFonts w:cstheme="minorHAnsi"/>
          <w:szCs w:val="24"/>
        </w:rPr>
        <w:t xml:space="preserve"> wzrosła </w:t>
      </w:r>
      <w:r w:rsidRPr="00E401F0">
        <w:rPr>
          <w:rFonts w:cstheme="minorHAnsi"/>
          <w:szCs w:val="24"/>
        </w:rPr>
        <w:t xml:space="preserve">o </w:t>
      </w:r>
      <w:r w:rsidR="004F2BA5">
        <w:rPr>
          <w:rFonts w:cstheme="minorHAnsi"/>
          <w:szCs w:val="24"/>
        </w:rPr>
        <w:t>1</w:t>
      </w:r>
      <w:r w:rsidR="00694EA5">
        <w:rPr>
          <w:rFonts w:cstheme="minorHAnsi"/>
          <w:szCs w:val="24"/>
        </w:rPr>
        <w:t>, a w drugim kwartale</w:t>
      </w:r>
      <w:r w:rsidR="003E70F6">
        <w:rPr>
          <w:rFonts w:cstheme="minorHAnsi"/>
          <w:szCs w:val="24"/>
        </w:rPr>
        <w:t xml:space="preserve"> </w:t>
      </w:r>
      <w:r w:rsidR="00694EA5">
        <w:rPr>
          <w:rFonts w:cstheme="minorHAnsi"/>
          <w:szCs w:val="24"/>
        </w:rPr>
        <w:t xml:space="preserve">o 3 miejsca </w:t>
      </w:r>
      <w:r w:rsidR="00BB047B">
        <w:rPr>
          <w:rFonts w:cstheme="minorHAnsi"/>
          <w:szCs w:val="24"/>
        </w:rPr>
        <w:t>(</w:t>
      </w:r>
      <w:r w:rsidR="00694EA5">
        <w:rPr>
          <w:rFonts w:cstheme="minorHAnsi"/>
          <w:szCs w:val="24"/>
        </w:rPr>
        <w:t>w stosunku do analogicznych okresów 2024 r</w:t>
      </w:r>
      <w:r w:rsidR="00BB047B">
        <w:rPr>
          <w:rFonts w:cstheme="minorHAnsi"/>
          <w:szCs w:val="24"/>
        </w:rPr>
        <w:t>)</w:t>
      </w:r>
      <w:r w:rsidRPr="00E401F0">
        <w:rPr>
          <w:rFonts w:cstheme="minorHAnsi"/>
          <w:szCs w:val="24"/>
        </w:rPr>
        <w:t xml:space="preserve">. Dla oferowania wyniki te wyniosły odpowiednio </w:t>
      </w:r>
      <w:r w:rsidR="00F0207D">
        <w:rPr>
          <w:rFonts w:cstheme="minorHAnsi"/>
          <w:szCs w:val="24"/>
        </w:rPr>
        <w:t>+</w:t>
      </w:r>
      <w:r w:rsidR="00BB047B">
        <w:rPr>
          <w:rFonts w:cstheme="minorHAnsi"/>
          <w:szCs w:val="24"/>
        </w:rPr>
        <w:t xml:space="preserve">4,7% </w:t>
      </w:r>
      <w:r w:rsidR="0061772E" w:rsidRPr="00E401F0">
        <w:rPr>
          <w:rFonts w:cstheme="minorHAnsi"/>
          <w:szCs w:val="24"/>
        </w:rPr>
        <w:t xml:space="preserve">w </w:t>
      </w:r>
      <w:r w:rsidR="004F2BA5">
        <w:rPr>
          <w:rFonts w:cstheme="minorHAnsi"/>
          <w:szCs w:val="24"/>
        </w:rPr>
        <w:t>półroczu</w:t>
      </w:r>
      <w:r w:rsidRPr="00E401F0">
        <w:rPr>
          <w:rFonts w:cstheme="minorHAnsi"/>
          <w:szCs w:val="24"/>
        </w:rPr>
        <w:t xml:space="preserve"> oraz </w:t>
      </w:r>
      <w:r w:rsidR="00F0207D">
        <w:rPr>
          <w:rFonts w:cstheme="minorHAnsi"/>
          <w:szCs w:val="24"/>
        </w:rPr>
        <w:t>+</w:t>
      </w:r>
      <w:r w:rsidR="00BB047B">
        <w:rPr>
          <w:rFonts w:cstheme="minorHAnsi"/>
          <w:szCs w:val="24"/>
        </w:rPr>
        <w:t xml:space="preserve">11,8% </w:t>
      </w:r>
      <w:r w:rsidRPr="00E401F0">
        <w:rPr>
          <w:rFonts w:cstheme="minorHAnsi"/>
          <w:szCs w:val="24"/>
        </w:rPr>
        <w:t xml:space="preserve">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>. Wskaźnik LF</w:t>
      </w:r>
      <w:r w:rsidR="00F0207D">
        <w:rPr>
          <w:rFonts w:cstheme="minorHAnsi"/>
          <w:szCs w:val="24"/>
        </w:rPr>
        <w:t xml:space="preserve"> wynosił</w:t>
      </w:r>
      <w:r w:rsidRPr="00E401F0">
        <w:rPr>
          <w:rFonts w:cstheme="minorHAnsi"/>
          <w:szCs w:val="24"/>
        </w:rPr>
        <w:t xml:space="preserve"> </w:t>
      </w:r>
      <w:r w:rsidR="00F0207D">
        <w:rPr>
          <w:rFonts w:cstheme="minorHAnsi"/>
          <w:szCs w:val="24"/>
        </w:rPr>
        <w:t>70</w:t>
      </w:r>
      <w:r w:rsidRPr="00E401F0">
        <w:rPr>
          <w:rFonts w:cstheme="minorHAnsi"/>
          <w:szCs w:val="24"/>
        </w:rPr>
        <w:t xml:space="preserve">% </w:t>
      </w:r>
      <w:r w:rsidR="0061772E" w:rsidRPr="00E401F0">
        <w:rPr>
          <w:rFonts w:cstheme="minorHAnsi"/>
          <w:szCs w:val="24"/>
        </w:rPr>
        <w:t xml:space="preserve">w </w:t>
      </w:r>
      <w:r w:rsidR="004F2BA5">
        <w:rPr>
          <w:rFonts w:cstheme="minorHAnsi"/>
          <w:szCs w:val="24"/>
        </w:rPr>
        <w:t>półroczu</w:t>
      </w:r>
      <w:r w:rsidRPr="00E401F0">
        <w:rPr>
          <w:rFonts w:cstheme="minorHAnsi"/>
          <w:szCs w:val="24"/>
        </w:rPr>
        <w:t xml:space="preserve"> (</w:t>
      </w:r>
      <w:r w:rsidR="00F0207D">
        <w:rPr>
          <w:rFonts w:cstheme="minorHAnsi"/>
          <w:szCs w:val="24"/>
        </w:rPr>
        <w:t>spadek o 0,3</w:t>
      </w:r>
      <w:r w:rsidR="00C01D31">
        <w:rPr>
          <w:rFonts w:cstheme="minorHAnsi"/>
          <w:szCs w:val="24"/>
        </w:rPr>
        <w:t xml:space="preserve"> punktu procentowego</w:t>
      </w:r>
      <w:r w:rsidR="00BB047B">
        <w:rPr>
          <w:rFonts w:cstheme="minorHAnsi"/>
          <w:szCs w:val="24"/>
        </w:rPr>
        <w:t xml:space="preserve"> w odniesieniu do analogicznego okresu 2024 r</w:t>
      </w:r>
      <w:r w:rsidR="00795AE3">
        <w:rPr>
          <w:rFonts w:cstheme="minorHAnsi"/>
          <w:szCs w:val="24"/>
        </w:rPr>
        <w:t>oku</w:t>
      </w:r>
      <w:r w:rsidR="00BB047B">
        <w:rPr>
          <w:rFonts w:cstheme="minorHAnsi"/>
          <w:szCs w:val="24"/>
        </w:rPr>
        <w:t>) oraz 71</w:t>
      </w:r>
      <w:r w:rsidR="00C01D31">
        <w:rPr>
          <w:rFonts w:cstheme="minorHAnsi"/>
          <w:szCs w:val="24"/>
        </w:rPr>
        <w:t>,4</w:t>
      </w:r>
      <w:r w:rsidRPr="00E401F0">
        <w:rPr>
          <w:rFonts w:cstheme="minorHAnsi"/>
          <w:szCs w:val="24"/>
        </w:rPr>
        <w:t xml:space="preserve">%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2D3C69" w:rsidRPr="00E401F0">
        <w:rPr>
          <w:rFonts w:cstheme="minorHAnsi"/>
          <w:szCs w:val="24"/>
        </w:rPr>
        <w:t xml:space="preserve"> (</w:t>
      </w:r>
      <w:r w:rsidR="00BB047B">
        <w:rPr>
          <w:rFonts w:cstheme="minorHAnsi"/>
          <w:szCs w:val="24"/>
        </w:rPr>
        <w:t xml:space="preserve">spadek o </w:t>
      </w:r>
      <w:r w:rsidR="00C01D31">
        <w:rPr>
          <w:rFonts w:cstheme="minorHAnsi"/>
          <w:szCs w:val="24"/>
        </w:rPr>
        <w:t>3,1</w:t>
      </w:r>
      <w:r w:rsidRPr="00E401F0">
        <w:rPr>
          <w:rFonts w:cstheme="minorHAnsi"/>
          <w:szCs w:val="24"/>
        </w:rPr>
        <w:t xml:space="preserve"> </w:t>
      </w:r>
      <w:r w:rsidR="00BB047B">
        <w:rPr>
          <w:rFonts w:cstheme="minorHAnsi"/>
          <w:szCs w:val="24"/>
        </w:rPr>
        <w:t>punkt</w:t>
      </w:r>
      <w:r w:rsidR="00C01D31">
        <w:rPr>
          <w:rFonts w:cstheme="minorHAnsi"/>
          <w:szCs w:val="24"/>
        </w:rPr>
        <w:t>u</w:t>
      </w:r>
      <w:r w:rsidR="00BB047B">
        <w:rPr>
          <w:rFonts w:cstheme="minorHAnsi"/>
          <w:szCs w:val="24"/>
        </w:rPr>
        <w:t xml:space="preserve"> procentowego)</w:t>
      </w:r>
      <w:r w:rsidRPr="00E401F0">
        <w:rPr>
          <w:rFonts w:cstheme="minorHAnsi"/>
          <w:szCs w:val="24"/>
        </w:rPr>
        <w:t xml:space="preserve">. Najwięcej pasażerów w ruchu krajowym </w:t>
      </w:r>
      <w:r w:rsidR="004F2BA5">
        <w:rPr>
          <w:rFonts w:cstheme="minorHAnsi"/>
          <w:szCs w:val="24"/>
        </w:rPr>
        <w:t>w pierwszej połowi</w:t>
      </w:r>
      <w:r w:rsidR="00CC44D1">
        <w:rPr>
          <w:rFonts w:cstheme="minorHAnsi"/>
          <w:szCs w:val="24"/>
        </w:rPr>
        <w:t>e i w samym drugim kwartale 2025</w:t>
      </w:r>
      <w:r w:rsidR="004F2BA5">
        <w:rPr>
          <w:rFonts w:cstheme="minorHAnsi"/>
          <w:szCs w:val="24"/>
        </w:rPr>
        <w:t xml:space="preserve"> roku </w:t>
      </w:r>
      <w:r w:rsidRPr="00E401F0">
        <w:rPr>
          <w:rFonts w:cstheme="minorHAnsi"/>
          <w:szCs w:val="24"/>
        </w:rPr>
        <w:t>przewiózł PLL LOT, drugim pod względem liczby przewiezionych pasażerów był Ryanair.</w:t>
      </w:r>
    </w:p>
    <w:p w14:paraId="76D0471E" w14:textId="77777777" w:rsidR="00CE2032" w:rsidRDefault="00CE2032" w:rsidP="00CE2032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59F7CF2E" wp14:editId="66BA5361">
            <wp:extent cx="3600000" cy="1922400"/>
            <wp:effectExtent l="0" t="0" r="635" b="1905"/>
            <wp:docPr id="61" name="Wykres 61" descr="Wykres porównuje dynamikę przewozów krajowych zrealizowanych w Polsce i portach zrzeszonych w ACI w minionych kwartałach roku bieżącego i poprzedniego. Dane przedstawione w Tabeli 12.1 poniżej." title="Wykres 12.1 Przewozy krajow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5D913BF" w14:textId="0D5B65C5" w:rsidR="003774B0" w:rsidRPr="003774B0" w:rsidRDefault="00CE2032" w:rsidP="00DA4DCC">
      <w:pPr>
        <w:pStyle w:val="Legenda"/>
        <w:spacing w:after="360"/>
      </w:pPr>
      <w:r w:rsidRPr="00CE2032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12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2F7618">
        <w:rPr>
          <w:b/>
        </w:rPr>
        <w:t>1.</w:t>
      </w:r>
      <w:r w:rsidR="002F7618" w:rsidRPr="004E51D3">
        <w:rPr>
          <w:noProof/>
        </w:rPr>
        <w:t xml:space="preserve"> </w:t>
      </w:r>
      <w:r w:rsidR="0036763E" w:rsidRPr="0036763E">
        <w:rPr>
          <w:rFonts w:ascii="Calibri" w:eastAsia="Times New Roman" w:hAnsi="Calibri" w:cs="Calibri"/>
          <w:szCs w:val="24"/>
          <w:lang w:eastAsia="pl-PL"/>
        </w:rPr>
        <w:t>Przewozy krajowe – wykres porównuje dynamikę przewozów międzynarodowych zrealizowanych w Polsce i portach zrzeszonych w ACI w pie</w:t>
      </w:r>
      <w:r w:rsidR="00050164">
        <w:rPr>
          <w:rFonts w:ascii="Calibri" w:eastAsia="Times New Roman" w:hAnsi="Calibri" w:cs="Calibri"/>
          <w:szCs w:val="24"/>
          <w:lang w:eastAsia="pl-PL"/>
        </w:rPr>
        <w:t>rwszej połowie 2025 i 2024 roku</w:t>
      </w:r>
    </w:p>
    <w:tbl>
      <w:tblPr>
        <w:tblW w:w="346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2.1 Przewozy krajowe"/>
        <w:tblDescription w:val="Tabela porównuje dynamikę przewozów krajowych zrealizowanych w Polsce i portach zrzeszonych w ACI w minionych kwartałach roku bieżącego i poprzedniego. "/>
      </w:tblPr>
      <w:tblGrid>
        <w:gridCol w:w="2020"/>
        <w:gridCol w:w="1440"/>
      </w:tblGrid>
      <w:tr w:rsidR="003B103F" w:rsidRPr="00E401F0" w14:paraId="72A5E9B2" w14:textId="77777777" w:rsidTr="003774B0">
        <w:trPr>
          <w:trHeight w:val="317"/>
          <w:tblHeader/>
          <w:jc w:val="center"/>
        </w:trPr>
        <w:tc>
          <w:tcPr>
            <w:tcW w:w="202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72C90" w14:textId="77777777" w:rsidR="003B103F" w:rsidRPr="00E401F0" w:rsidRDefault="003B103F" w:rsidP="002D3C6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lastRenderedPageBreak/>
              <w:t>Krajowe</w:t>
            </w:r>
          </w:p>
        </w:tc>
        <w:tc>
          <w:tcPr>
            <w:tcW w:w="144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59084" w14:textId="77777777" w:rsidR="003B103F" w:rsidRPr="00E401F0" w:rsidRDefault="003B103F" w:rsidP="002D3C6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Wartość</w:t>
            </w:r>
          </w:p>
        </w:tc>
      </w:tr>
      <w:tr w:rsidR="00E812E4" w:rsidRPr="00E401F0" w14:paraId="22767669" w14:textId="77777777" w:rsidTr="003774B0">
        <w:trPr>
          <w:trHeight w:val="317"/>
          <w:jc w:val="center"/>
        </w:trPr>
        <w:tc>
          <w:tcPr>
            <w:tcW w:w="20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35862" w14:textId="77777777" w:rsidR="00E812E4" w:rsidRPr="00CE2032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E2032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629838" w14:textId="77777777" w:rsidR="00E812E4" w:rsidRPr="00E812E4" w:rsidRDefault="00564E6C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3,53</w:t>
            </w:r>
            <w:r w:rsidR="00951B70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E812E4" w:rsidRPr="00E401F0" w14:paraId="35743321" w14:textId="77777777" w:rsidTr="003774B0">
        <w:trPr>
          <w:trHeight w:val="317"/>
          <w:jc w:val="center"/>
        </w:trPr>
        <w:tc>
          <w:tcPr>
            <w:tcW w:w="202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95A5C" w14:textId="77777777" w:rsidR="00E812E4" w:rsidRPr="00CE2032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E2032">
              <w:rPr>
                <w:rFonts w:cstheme="minorHAnsi"/>
                <w:color w:val="283772"/>
                <w:szCs w:val="24"/>
              </w:rPr>
              <w:t>Porty ACI</w:t>
            </w:r>
          </w:p>
        </w:tc>
        <w:tc>
          <w:tcPr>
            <w:tcW w:w="144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FC4873" w14:textId="77777777" w:rsidR="00E812E4" w:rsidRPr="00E812E4" w:rsidRDefault="00951B70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0,20%</w:t>
            </w:r>
          </w:p>
        </w:tc>
      </w:tr>
    </w:tbl>
    <w:p w14:paraId="45DA3A2D" w14:textId="77777777" w:rsidR="002D3C69" w:rsidRPr="00E401F0" w:rsidRDefault="002D3C69" w:rsidP="00681794">
      <w:pPr>
        <w:pStyle w:val="Legenda"/>
      </w:pPr>
      <w:bookmarkStart w:id="53" w:name="_Toc216787139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12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Przewozy krajowe</w:t>
      </w:r>
      <w:bookmarkEnd w:id="53"/>
    </w:p>
    <w:p w14:paraId="5FF6AB3C" w14:textId="77777777" w:rsidR="003B103F" w:rsidRPr="00E401F0" w:rsidRDefault="00574DE0" w:rsidP="005A6434">
      <w:pPr>
        <w:pStyle w:val="Nagwek1"/>
      </w:pPr>
      <w:bookmarkStart w:id="54" w:name="_Toc178665054"/>
      <w:r w:rsidRPr="00E401F0">
        <w:t>Przewozy regularne - narastająco</w:t>
      </w:r>
      <w:bookmarkEnd w:id="54"/>
    </w:p>
    <w:p w14:paraId="1514034D" w14:textId="5E6E6F88" w:rsidR="003B103F" w:rsidRPr="00E401F0" w:rsidRDefault="0018638B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Na p</w:t>
      </w:r>
      <w:r w:rsidR="003B103F" w:rsidRPr="00F8189A">
        <w:rPr>
          <w:rFonts w:cstheme="minorHAnsi"/>
          <w:szCs w:val="24"/>
        </w:rPr>
        <w:t>olski</w:t>
      </w:r>
      <w:r>
        <w:rPr>
          <w:rFonts w:cstheme="minorHAnsi"/>
          <w:szCs w:val="24"/>
        </w:rPr>
        <w:t>m rynku</w:t>
      </w:r>
      <w:r w:rsidR="003B103F" w:rsidRPr="00F8189A">
        <w:rPr>
          <w:rFonts w:cstheme="minorHAnsi"/>
          <w:szCs w:val="24"/>
        </w:rPr>
        <w:t xml:space="preserve"> przewozów regularnych </w:t>
      </w:r>
      <w:r w:rsidR="007B4A6D" w:rsidRPr="00F8189A">
        <w:rPr>
          <w:rFonts w:cstheme="minorHAnsi"/>
          <w:szCs w:val="24"/>
        </w:rPr>
        <w:t xml:space="preserve">w </w:t>
      </w:r>
      <w:r w:rsidR="00F81010">
        <w:rPr>
          <w:rFonts w:cstheme="minorHAnsi"/>
          <w:szCs w:val="24"/>
        </w:rPr>
        <w:t>pierwszej poł</w:t>
      </w:r>
      <w:r>
        <w:rPr>
          <w:rFonts w:cstheme="minorHAnsi"/>
          <w:szCs w:val="24"/>
        </w:rPr>
        <w:t xml:space="preserve">owie </w:t>
      </w:r>
      <w:r w:rsidR="003B103F" w:rsidRPr="00F8189A">
        <w:rPr>
          <w:rFonts w:cstheme="minorHAnsi"/>
          <w:szCs w:val="24"/>
        </w:rPr>
        <w:t>202</w:t>
      </w:r>
      <w:r w:rsidR="006C0304">
        <w:rPr>
          <w:rFonts w:cstheme="minorHAnsi"/>
          <w:szCs w:val="24"/>
        </w:rPr>
        <w:t>5</w:t>
      </w:r>
      <w:r w:rsidR="003B103F" w:rsidRPr="00F8189A">
        <w:rPr>
          <w:rFonts w:cstheme="minorHAnsi"/>
          <w:szCs w:val="24"/>
        </w:rPr>
        <w:t xml:space="preserve"> roku</w:t>
      </w:r>
      <w:r>
        <w:rPr>
          <w:rFonts w:cstheme="minorHAnsi"/>
          <w:szCs w:val="24"/>
        </w:rPr>
        <w:t xml:space="preserve"> obsłużono</w:t>
      </w:r>
      <w:r w:rsidR="00EA13B7">
        <w:rPr>
          <w:rFonts w:cstheme="minorHAnsi"/>
          <w:szCs w:val="24"/>
        </w:rPr>
        <w:t xml:space="preserve"> o </w:t>
      </w:r>
      <w:r w:rsidR="00E71006">
        <w:rPr>
          <w:rFonts w:cstheme="minorHAnsi"/>
          <w:szCs w:val="24"/>
        </w:rPr>
        <w:t>2,5</w:t>
      </w:r>
      <w:r w:rsidR="00EA13B7">
        <w:rPr>
          <w:rFonts w:cstheme="minorHAnsi"/>
          <w:szCs w:val="24"/>
        </w:rPr>
        <w:t> </w:t>
      </w:r>
      <w:r w:rsidR="003B103F" w:rsidRPr="00F8189A">
        <w:rPr>
          <w:rFonts w:cstheme="minorHAnsi"/>
          <w:szCs w:val="24"/>
        </w:rPr>
        <w:t>mln pasażerów więcej, niż w</w:t>
      </w:r>
      <w:r>
        <w:rPr>
          <w:rFonts w:cstheme="minorHAnsi"/>
          <w:szCs w:val="24"/>
        </w:rPr>
        <w:t xml:space="preserve"> analogicznym okresie</w:t>
      </w:r>
      <w:r w:rsidR="003B103F" w:rsidRPr="00F8189A">
        <w:rPr>
          <w:rFonts w:cstheme="minorHAnsi"/>
          <w:szCs w:val="24"/>
        </w:rPr>
        <w:t xml:space="preserve"> 202</w:t>
      </w:r>
      <w:r w:rsidR="00E71006">
        <w:rPr>
          <w:rFonts w:cstheme="minorHAnsi"/>
          <w:szCs w:val="24"/>
        </w:rPr>
        <w:t>4</w:t>
      </w:r>
      <w:r w:rsidR="003B103F" w:rsidRPr="00F8189A">
        <w:rPr>
          <w:rFonts w:cstheme="minorHAnsi"/>
          <w:szCs w:val="24"/>
        </w:rPr>
        <w:t xml:space="preserve"> roku (+</w:t>
      </w:r>
      <w:r w:rsidR="00E71006">
        <w:rPr>
          <w:rFonts w:cstheme="minorHAnsi"/>
          <w:szCs w:val="24"/>
        </w:rPr>
        <w:t>10,9</w:t>
      </w:r>
      <w:r w:rsidR="003B103F" w:rsidRPr="00F8189A">
        <w:rPr>
          <w:rFonts w:cstheme="minorHAnsi"/>
          <w:szCs w:val="24"/>
        </w:rPr>
        <w:t>%). W</w:t>
      </w:r>
      <w:r w:rsidR="005E08F6">
        <w:rPr>
          <w:rFonts w:cstheme="minorHAnsi"/>
          <w:szCs w:val="24"/>
        </w:rPr>
        <w:t>zględem roku 202</w:t>
      </w:r>
      <w:r w:rsidR="00E71006">
        <w:rPr>
          <w:rFonts w:cstheme="minorHAnsi"/>
          <w:szCs w:val="24"/>
        </w:rPr>
        <w:t>3</w:t>
      </w:r>
      <w:r w:rsidR="003B103F" w:rsidRPr="00F8189A">
        <w:rPr>
          <w:rFonts w:cstheme="minorHAnsi"/>
          <w:szCs w:val="24"/>
        </w:rPr>
        <w:t xml:space="preserve"> było to o </w:t>
      </w:r>
      <w:r w:rsidR="00E71006">
        <w:rPr>
          <w:rFonts w:cstheme="minorHAnsi"/>
          <w:szCs w:val="24"/>
        </w:rPr>
        <w:t xml:space="preserve">4,9 </w:t>
      </w:r>
      <w:r w:rsidR="002D3C69" w:rsidRPr="00F8189A">
        <w:rPr>
          <w:rFonts w:cstheme="minorHAnsi"/>
          <w:szCs w:val="24"/>
        </w:rPr>
        <w:t>mln</w:t>
      </w:r>
      <w:r w:rsidR="003B103F" w:rsidRPr="00F8189A">
        <w:rPr>
          <w:rFonts w:cstheme="minorHAnsi"/>
          <w:szCs w:val="24"/>
        </w:rPr>
        <w:t xml:space="preserve"> pasażerów więcej (+</w:t>
      </w:r>
      <w:r w:rsidR="00E71006">
        <w:rPr>
          <w:rFonts w:cstheme="minorHAnsi"/>
          <w:szCs w:val="24"/>
        </w:rPr>
        <w:t>23,</w:t>
      </w:r>
      <w:r w:rsidR="007350A6">
        <w:rPr>
          <w:rFonts w:cstheme="minorHAnsi"/>
          <w:szCs w:val="24"/>
        </w:rPr>
        <w:t>6</w:t>
      </w:r>
      <w:r w:rsidR="003B103F" w:rsidRPr="00F8189A">
        <w:rPr>
          <w:rFonts w:cstheme="minorHAnsi"/>
          <w:szCs w:val="24"/>
        </w:rPr>
        <w:t>%).</w:t>
      </w:r>
      <w:r w:rsidR="003B103F" w:rsidRPr="00E401F0">
        <w:rPr>
          <w:rFonts w:cstheme="minorHAnsi"/>
          <w:szCs w:val="24"/>
        </w:rPr>
        <w:t xml:space="preserve"> </w:t>
      </w:r>
    </w:p>
    <w:p w14:paraId="3BCF6708" w14:textId="0900AAF6" w:rsidR="003B103F" w:rsidRPr="00E401F0" w:rsidRDefault="00E71006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Najpopularniejszym</w:t>
      </w:r>
      <w:r w:rsidR="003B103F" w:rsidRPr="00E401F0">
        <w:rPr>
          <w:rFonts w:cstheme="minorHAnsi"/>
          <w:szCs w:val="24"/>
        </w:rPr>
        <w:t xml:space="preserve"> kierunkiem </w:t>
      </w:r>
      <w:r w:rsidR="0061772E" w:rsidRPr="00E401F0">
        <w:rPr>
          <w:rFonts w:cstheme="minorHAnsi"/>
          <w:szCs w:val="24"/>
        </w:rPr>
        <w:t xml:space="preserve">w </w:t>
      </w:r>
      <w:r w:rsidR="0018638B">
        <w:rPr>
          <w:rFonts w:cstheme="minorHAnsi"/>
          <w:szCs w:val="24"/>
        </w:rPr>
        <w:t xml:space="preserve">pierwszym półroczu </w:t>
      </w:r>
      <w:r w:rsidR="004D0C4A">
        <w:rPr>
          <w:rFonts w:cstheme="minorHAnsi"/>
          <w:szCs w:val="24"/>
        </w:rPr>
        <w:t>202</w:t>
      </w:r>
      <w:r>
        <w:rPr>
          <w:rFonts w:cstheme="minorHAnsi"/>
          <w:szCs w:val="24"/>
        </w:rPr>
        <w:t>5</w:t>
      </w:r>
      <w:r w:rsidR="004D0C4A">
        <w:rPr>
          <w:rFonts w:cstheme="minorHAnsi"/>
          <w:szCs w:val="24"/>
        </w:rPr>
        <w:t xml:space="preserve"> roku</w:t>
      </w:r>
      <w:r w:rsidR="003B103F" w:rsidRPr="00E401F0">
        <w:rPr>
          <w:rFonts w:cstheme="minorHAnsi"/>
          <w:szCs w:val="24"/>
        </w:rPr>
        <w:t xml:space="preserve"> była Wielka Brytania, </w:t>
      </w:r>
      <w:r w:rsidR="00EA13B7">
        <w:rPr>
          <w:rFonts w:cstheme="minorHAnsi"/>
          <w:szCs w:val="24"/>
        </w:rPr>
        <w:t>a </w:t>
      </w:r>
      <w:r w:rsidR="00CD1CD8">
        <w:rPr>
          <w:rFonts w:cstheme="minorHAnsi"/>
          <w:szCs w:val="24"/>
        </w:rPr>
        <w:t>następnie Włochy i Hiszpania</w:t>
      </w:r>
      <w:r w:rsidR="003B103F" w:rsidRPr="00E401F0">
        <w:rPr>
          <w:rFonts w:cstheme="minorHAnsi"/>
          <w:szCs w:val="24"/>
        </w:rPr>
        <w:t>.</w:t>
      </w:r>
      <w:r w:rsidR="00B35E70" w:rsidRPr="00E401F0">
        <w:rPr>
          <w:rFonts w:cstheme="minorHAnsi"/>
          <w:szCs w:val="24"/>
        </w:rPr>
        <w:t xml:space="preserve"> </w:t>
      </w:r>
      <w:r w:rsidR="00CD1CD8">
        <w:rPr>
          <w:rFonts w:cstheme="minorHAnsi"/>
          <w:szCs w:val="24"/>
        </w:rPr>
        <w:t>N</w:t>
      </w:r>
      <w:r w:rsidR="003B103F" w:rsidRPr="00E401F0">
        <w:rPr>
          <w:rFonts w:cstheme="minorHAnsi"/>
          <w:szCs w:val="24"/>
        </w:rPr>
        <w:t xml:space="preserve">ajwiększe wzrosty </w:t>
      </w:r>
      <w:r w:rsidR="005E08F6">
        <w:rPr>
          <w:rFonts w:cstheme="minorHAnsi"/>
          <w:szCs w:val="24"/>
        </w:rPr>
        <w:t>względem pierwszej połowy 2025</w:t>
      </w:r>
      <w:r w:rsidR="00CD1CD8">
        <w:rPr>
          <w:rFonts w:cstheme="minorHAnsi"/>
          <w:szCs w:val="24"/>
        </w:rPr>
        <w:t xml:space="preserve"> </w:t>
      </w:r>
      <w:r w:rsidR="003B103F" w:rsidRPr="00E401F0">
        <w:rPr>
          <w:rFonts w:cstheme="minorHAnsi"/>
          <w:szCs w:val="24"/>
        </w:rPr>
        <w:t xml:space="preserve">miały trasy do/z </w:t>
      </w:r>
      <w:r w:rsidR="005E08F6">
        <w:rPr>
          <w:rFonts w:cstheme="minorHAnsi"/>
          <w:szCs w:val="24"/>
        </w:rPr>
        <w:t>Włoch</w:t>
      </w:r>
      <w:r w:rsidR="002D3C69" w:rsidRPr="00E401F0">
        <w:rPr>
          <w:rFonts w:cstheme="minorHAnsi"/>
          <w:szCs w:val="24"/>
        </w:rPr>
        <w:t xml:space="preserve"> (+</w:t>
      </w:r>
      <w:r w:rsidR="005E08F6">
        <w:rPr>
          <w:rFonts w:cstheme="minorHAnsi"/>
          <w:szCs w:val="24"/>
        </w:rPr>
        <w:t>751,4</w:t>
      </w:r>
      <w:r w:rsidR="00CD1CD8">
        <w:rPr>
          <w:rFonts w:cstheme="minorHAnsi"/>
          <w:szCs w:val="24"/>
        </w:rPr>
        <w:t xml:space="preserve"> tys.),</w:t>
      </w:r>
      <w:r w:rsidR="002D3C69" w:rsidRPr="00E401F0">
        <w:rPr>
          <w:rFonts w:cstheme="minorHAnsi"/>
          <w:szCs w:val="24"/>
        </w:rPr>
        <w:t xml:space="preserve"> </w:t>
      </w:r>
      <w:r w:rsidR="005E08F6">
        <w:rPr>
          <w:rFonts w:cstheme="minorHAnsi"/>
          <w:szCs w:val="24"/>
        </w:rPr>
        <w:t>Hiszpanii</w:t>
      </w:r>
      <w:r w:rsidR="004D0C4A" w:rsidRPr="00E401F0">
        <w:rPr>
          <w:rFonts w:cstheme="minorHAnsi"/>
          <w:szCs w:val="24"/>
        </w:rPr>
        <w:t xml:space="preserve"> </w:t>
      </w:r>
      <w:r w:rsidR="002D3C69" w:rsidRPr="00E401F0">
        <w:rPr>
          <w:rFonts w:cstheme="minorHAnsi"/>
          <w:szCs w:val="24"/>
        </w:rPr>
        <w:t>(+</w:t>
      </w:r>
      <w:r w:rsidR="005E08F6">
        <w:rPr>
          <w:rFonts w:cstheme="minorHAnsi"/>
          <w:szCs w:val="24"/>
        </w:rPr>
        <w:t>234,</w:t>
      </w:r>
      <w:r w:rsidR="007350A6">
        <w:rPr>
          <w:rFonts w:cstheme="minorHAnsi"/>
          <w:szCs w:val="24"/>
        </w:rPr>
        <w:t>9</w:t>
      </w:r>
      <w:r w:rsidR="007350A6" w:rsidRPr="00E401F0">
        <w:rPr>
          <w:rFonts w:cstheme="minorHAnsi"/>
          <w:szCs w:val="24"/>
        </w:rPr>
        <w:t xml:space="preserve"> </w:t>
      </w:r>
      <w:r w:rsidR="002D3C69" w:rsidRPr="00E401F0">
        <w:rPr>
          <w:rFonts w:cstheme="minorHAnsi"/>
          <w:szCs w:val="24"/>
        </w:rPr>
        <w:t>tys.)</w:t>
      </w:r>
      <w:r w:rsidR="00CD1CD8">
        <w:rPr>
          <w:rFonts w:cstheme="minorHAnsi"/>
          <w:szCs w:val="24"/>
        </w:rPr>
        <w:t xml:space="preserve"> i </w:t>
      </w:r>
      <w:r w:rsidR="005E08F6">
        <w:rPr>
          <w:rFonts w:cstheme="minorHAnsi"/>
          <w:szCs w:val="24"/>
        </w:rPr>
        <w:t xml:space="preserve">Wielkiej Brytanii </w:t>
      </w:r>
      <w:r w:rsidR="00CD1CD8">
        <w:rPr>
          <w:rFonts w:cstheme="minorHAnsi"/>
          <w:szCs w:val="24"/>
        </w:rPr>
        <w:t>(+</w:t>
      </w:r>
      <w:r w:rsidR="0040339A">
        <w:rPr>
          <w:rFonts w:cstheme="minorHAnsi"/>
          <w:szCs w:val="24"/>
        </w:rPr>
        <w:t>188,6</w:t>
      </w:r>
      <w:r w:rsidR="00CD1CD8">
        <w:rPr>
          <w:rFonts w:cstheme="minorHAnsi"/>
          <w:szCs w:val="24"/>
        </w:rPr>
        <w:t xml:space="preserve"> tys.)</w:t>
      </w:r>
      <w:r w:rsidR="005C1F7B">
        <w:rPr>
          <w:rFonts w:cstheme="minorHAnsi"/>
          <w:szCs w:val="24"/>
        </w:rPr>
        <w:t>.</w:t>
      </w:r>
      <w:r w:rsidR="007350A6" w:rsidRPr="007350A6">
        <w:rPr>
          <w:rFonts w:cstheme="minorHAnsi"/>
          <w:szCs w:val="24"/>
        </w:rPr>
        <w:t xml:space="preserve"> </w:t>
      </w:r>
      <w:r w:rsidR="007350A6">
        <w:rPr>
          <w:rFonts w:cstheme="minorHAnsi"/>
          <w:szCs w:val="24"/>
        </w:rPr>
        <w:t>Największe spadki wystąpiły natomiast w przypadku tras do/z Norwegii, Albanii oraz Austrii.</w:t>
      </w:r>
    </w:p>
    <w:p w14:paraId="1EB07161" w14:textId="4718B3AC" w:rsidR="00947C4B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Największe wzrosty</w:t>
      </w:r>
      <w:r w:rsidR="00CD1CD8">
        <w:rPr>
          <w:rFonts w:cstheme="minorHAnsi"/>
          <w:szCs w:val="24"/>
        </w:rPr>
        <w:t xml:space="preserve"> w ruchu regularnym</w:t>
      </w:r>
      <w:r w:rsidRPr="00E401F0">
        <w:rPr>
          <w:rFonts w:cstheme="minorHAnsi"/>
          <w:szCs w:val="24"/>
        </w:rPr>
        <w:t xml:space="preserve"> wśród portów lotniczych w porównaniu do </w:t>
      </w:r>
      <w:r w:rsidR="00CD1CD8">
        <w:rPr>
          <w:rFonts w:cstheme="minorHAnsi"/>
          <w:szCs w:val="24"/>
        </w:rPr>
        <w:t xml:space="preserve">pierwszej połowy </w:t>
      </w:r>
      <w:r w:rsidR="0040339A">
        <w:rPr>
          <w:rFonts w:cstheme="minorHAnsi"/>
          <w:szCs w:val="24"/>
        </w:rPr>
        <w:t>2024 r</w:t>
      </w:r>
      <w:r w:rsidR="00795AE3">
        <w:rPr>
          <w:rFonts w:cstheme="minorHAnsi"/>
          <w:szCs w:val="24"/>
        </w:rPr>
        <w:t>oku</w:t>
      </w:r>
      <w:r w:rsidR="00947C4B">
        <w:rPr>
          <w:rFonts w:cstheme="minorHAnsi"/>
          <w:szCs w:val="24"/>
        </w:rPr>
        <w:t xml:space="preserve"> odnotowało </w:t>
      </w:r>
      <w:r w:rsidRPr="00E401F0">
        <w:rPr>
          <w:rFonts w:cstheme="minorHAnsi"/>
          <w:szCs w:val="24"/>
        </w:rPr>
        <w:t>Lotnisko Chopina (+</w:t>
      </w:r>
      <w:r w:rsidR="00CD1CD8">
        <w:rPr>
          <w:rFonts w:cstheme="minorHAnsi"/>
          <w:szCs w:val="24"/>
        </w:rPr>
        <w:t>1,1</w:t>
      </w:r>
      <w:r w:rsidR="005A3FC6" w:rsidRPr="00E401F0">
        <w:rPr>
          <w:rFonts w:cstheme="minorHAnsi"/>
          <w:szCs w:val="24"/>
        </w:rPr>
        <w:t xml:space="preserve"> mln</w:t>
      </w:r>
      <w:r w:rsidR="00947C4B">
        <w:rPr>
          <w:rFonts w:cstheme="minorHAnsi"/>
          <w:szCs w:val="24"/>
        </w:rPr>
        <w:t xml:space="preserve">), </w:t>
      </w:r>
      <w:r w:rsidR="005A3FC6" w:rsidRPr="00E401F0">
        <w:rPr>
          <w:rFonts w:cstheme="minorHAnsi"/>
          <w:szCs w:val="24"/>
        </w:rPr>
        <w:t>Kraków-Balice (+</w:t>
      </w:r>
      <w:r w:rsidR="0040339A">
        <w:rPr>
          <w:rFonts w:cstheme="minorHAnsi"/>
          <w:szCs w:val="24"/>
        </w:rPr>
        <w:t>939</w:t>
      </w:r>
      <w:r w:rsidR="007350A6">
        <w:rPr>
          <w:rFonts w:cstheme="minorHAnsi"/>
          <w:szCs w:val="24"/>
        </w:rPr>
        <w:t>,4</w:t>
      </w:r>
      <w:r w:rsidR="0040339A">
        <w:rPr>
          <w:rFonts w:cstheme="minorHAnsi"/>
          <w:szCs w:val="24"/>
        </w:rPr>
        <w:t xml:space="preserve"> tys.</w:t>
      </w:r>
      <w:r w:rsidRPr="00E401F0">
        <w:rPr>
          <w:rFonts w:cstheme="minorHAnsi"/>
          <w:szCs w:val="24"/>
        </w:rPr>
        <w:t>) oraz port lotniczy w Gdańsku (+</w:t>
      </w:r>
      <w:r w:rsidR="007350A6">
        <w:rPr>
          <w:rFonts w:cstheme="minorHAnsi"/>
          <w:szCs w:val="24"/>
        </w:rPr>
        <w:t>340</w:t>
      </w:r>
      <w:r w:rsidR="0040339A">
        <w:rPr>
          <w:rFonts w:cstheme="minorHAnsi"/>
          <w:szCs w:val="24"/>
        </w:rPr>
        <w:t xml:space="preserve"> </w:t>
      </w:r>
      <w:r w:rsidR="00CD1CD8">
        <w:rPr>
          <w:rFonts w:cstheme="minorHAnsi"/>
          <w:szCs w:val="24"/>
        </w:rPr>
        <w:t>tys.</w:t>
      </w:r>
      <w:r w:rsidRPr="00E401F0">
        <w:rPr>
          <w:rFonts w:cstheme="minorHAnsi"/>
          <w:szCs w:val="24"/>
        </w:rPr>
        <w:t xml:space="preserve">). </w:t>
      </w:r>
      <w:r w:rsidR="007350A6">
        <w:rPr>
          <w:rFonts w:cstheme="minorHAnsi"/>
          <w:szCs w:val="24"/>
        </w:rPr>
        <w:t xml:space="preserve">Spadki w ruchu regularnym wystąpiły w przypadku </w:t>
      </w:r>
      <w:r w:rsidR="00795AE3">
        <w:rPr>
          <w:rFonts w:cstheme="minorHAnsi"/>
          <w:szCs w:val="24"/>
        </w:rPr>
        <w:t>lotnisk:</w:t>
      </w:r>
      <w:r w:rsidR="007350A6">
        <w:rPr>
          <w:rFonts w:cstheme="minorHAnsi"/>
          <w:szCs w:val="24"/>
        </w:rPr>
        <w:t xml:space="preserve"> Warszawa/Modlin,</w:t>
      </w:r>
      <w:r w:rsidR="007350A6" w:rsidRPr="007350A6">
        <w:rPr>
          <w:rFonts w:cstheme="minorHAnsi"/>
          <w:szCs w:val="24"/>
        </w:rPr>
        <w:t xml:space="preserve"> </w:t>
      </w:r>
      <w:r w:rsidR="007350A6">
        <w:rPr>
          <w:rFonts w:cstheme="minorHAnsi"/>
          <w:szCs w:val="24"/>
        </w:rPr>
        <w:t>Warszawa-Radom, Olsztyn-Mazury, oraz w niewielkim stopniu Zielona Góra-Babimost.</w:t>
      </w:r>
    </w:p>
    <w:p w14:paraId="71FA570C" w14:textId="4FF6DE05" w:rsidR="003B103F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Analizując rynek międzynarodowych przewozów regularnych warto zaznaczyć, że przewoźnicy niskokosztowi </w:t>
      </w:r>
      <w:r w:rsidR="00FD7200" w:rsidRPr="00E401F0">
        <w:rPr>
          <w:rFonts w:cstheme="minorHAnsi"/>
          <w:szCs w:val="24"/>
        </w:rPr>
        <w:t xml:space="preserve">w </w:t>
      </w:r>
      <w:r w:rsidR="00F03635">
        <w:rPr>
          <w:rFonts w:cstheme="minorHAnsi"/>
          <w:szCs w:val="24"/>
        </w:rPr>
        <w:t xml:space="preserve">pierwszej połowie </w:t>
      </w:r>
      <w:r w:rsidRPr="00E401F0">
        <w:rPr>
          <w:rFonts w:cstheme="minorHAnsi"/>
          <w:szCs w:val="24"/>
        </w:rPr>
        <w:t>202</w:t>
      </w:r>
      <w:r w:rsidR="00947C4B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posiadali </w:t>
      </w:r>
      <w:r w:rsidR="006A24EB">
        <w:rPr>
          <w:rFonts w:cstheme="minorHAnsi"/>
          <w:szCs w:val="24"/>
        </w:rPr>
        <w:t>65,8</w:t>
      </w:r>
      <w:r w:rsidRPr="00E401F0">
        <w:rPr>
          <w:rFonts w:cstheme="minorHAnsi"/>
          <w:szCs w:val="24"/>
        </w:rPr>
        <w:t>% udziałów w tego rod</w:t>
      </w:r>
      <w:r w:rsidR="006A24EB">
        <w:rPr>
          <w:rFonts w:cstheme="minorHAnsi"/>
          <w:szCs w:val="24"/>
        </w:rPr>
        <w:t>zaju przewozach, a sieciowi 31,8</w:t>
      </w:r>
      <w:r w:rsidRPr="00E401F0">
        <w:rPr>
          <w:rFonts w:cstheme="minorHAnsi"/>
          <w:szCs w:val="24"/>
        </w:rPr>
        <w:t>% (</w:t>
      </w:r>
      <w:r w:rsidR="006A24EB">
        <w:rPr>
          <w:rFonts w:cstheme="minorHAnsi"/>
          <w:szCs w:val="24"/>
        </w:rPr>
        <w:t>2,4</w:t>
      </w:r>
      <w:r w:rsidRPr="00E401F0">
        <w:rPr>
          <w:rFonts w:cstheme="minorHAnsi"/>
          <w:szCs w:val="24"/>
        </w:rPr>
        <w:t xml:space="preserve">% należy do przewoźników czarterowych). </w:t>
      </w:r>
      <w:r w:rsidR="007350A6">
        <w:rPr>
          <w:rFonts w:cstheme="minorHAnsi"/>
          <w:szCs w:val="24"/>
        </w:rPr>
        <w:t>Oznacza to nieznaczny spadek udziałów przewoźników niskokosztowych i czarterowych (o odpowiednio 0,2 i 0,1 punktu procentowego) na rzecz przewoźników sieciowych w porównaniu do pierwszej połowy 2024 roku.</w:t>
      </w:r>
    </w:p>
    <w:p w14:paraId="2BEA6C22" w14:textId="77777777" w:rsidR="004906C2" w:rsidRDefault="004906C2" w:rsidP="004906C2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6C8C8A5A" wp14:editId="151D8AE8">
            <wp:extent cx="4680000" cy="2340000"/>
            <wp:effectExtent l="0" t="0" r="6350" b="3175"/>
            <wp:docPr id="62" name="Wykres 62" descr="Wykres przedstawia liczbę przewiezionych pasażerów w ruchu regularnym w minionych kwartałach danego roku z uwzględnieniem analogicznych okresów z poprzednich 2 lat. Dane przedstawione w Tabeli 13.1 poniżej." title="Wykres 13.1 Liczba pasażerów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A8C6844" w14:textId="1837AAEB" w:rsidR="002F7618" w:rsidRPr="00E401F0" w:rsidRDefault="004906C2" w:rsidP="00071292">
      <w:pPr>
        <w:pStyle w:val="Legenda"/>
        <w:rPr>
          <w:rFonts w:cstheme="minorHAnsi"/>
          <w:szCs w:val="24"/>
        </w:rPr>
      </w:pPr>
      <w:bookmarkStart w:id="55" w:name="_Toc219462796"/>
      <w:r w:rsidRPr="004906C2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13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4906C2">
        <w:rPr>
          <w:noProof/>
        </w:rPr>
        <w:t xml:space="preserve"> </w:t>
      </w:r>
      <w:r w:rsidR="001B72F1" w:rsidRPr="001B72F1">
        <w:rPr>
          <w:rFonts w:ascii="Calibri" w:eastAsia="Times New Roman" w:hAnsi="Calibri" w:cs="Calibri"/>
          <w:color w:val="000000"/>
          <w:szCs w:val="24"/>
          <w:lang w:eastAsia="pl-PL"/>
        </w:rPr>
        <w:t>Liczba pasażerów regularnych w przewozach regularnych (mln) – narastająco – wykres przedstawia liczbę przewiezionych pasażerów w ruchu regularnym w pierwszej połowie 2025 roku wraz z latami 2024 i 2023</w:t>
      </w:r>
      <w:bookmarkEnd w:id="55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4.1 Liczba pasażerów regularnych (mln) – kwartał"/>
        <w:tblDescription w:val="Tabela przedstawia liczbę przewiezionych pasażerów w ruchu regularnym w danym kwartale z uwzględnieniem tego samego okresu poprzednich 2 lat. "/>
      </w:tblPr>
      <w:tblGrid>
        <w:gridCol w:w="1590"/>
        <w:gridCol w:w="1590"/>
      </w:tblGrid>
      <w:tr w:rsidR="002F7618" w:rsidRPr="00E401F0" w14:paraId="5DA9869C" w14:textId="77777777" w:rsidTr="00086DF6">
        <w:trPr>
          <w:trHeight w:val="317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8DDC8" w14:textId="77777777" w:rsidR="002F7618" w:rsidRPr="00E401F0" w:rsidRDefault="002F7618" w:rsidP="003774B0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lastRenderedPageBreak/>
              <w:t>Rok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11CC6" w14:textId="77777777" w:rsidR="002F7618" w:rsidRPr="00E401F0" w:rsidRDefault="002F7618" w:rsidP="003774B0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2F7618" w:rsidRPr="00E401F0" w14:paraId="130A27A8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9DEEBB" w14:textId="77777777" w:rsidR="002F7618" w:rsidRPr="00E812E4" w:rsidRDefault="002F7618" w:rsidP="003774B0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DC5088" w14:textId="77777777" w:rsidR="002F7618" w:rsidRPr="00FF1197" w:rsidRDefault="00564E6C" w:rsidP="003774B0">
            <w:pPr>
              <w:spacing w:after="0"/>
              <w:jc w:val="center"/>
              <w:rPr>
                <w:rFonts w:cstheme="minorHAnsi"/>
                <w:color w:val="1F3864" w:themeColor="accent5" w:themeShade="80"/>
                <w:szCs w:val="24"/>
              </w:rPr>
            </w:pPr>
            <w:r>
              <w:rPr>
                <w:rFonts w:cstheme="minorHAnsi"/>
                <w:bCs/>
                <w:color w:val="1F3864" w:themeColor="accent5" w:themeShade="80"/>
                <w:szCs w:val="24"/>
              </w:rPr>
              <w:t>25 818</w:t>
            </w:r>
            <w:r w:rsidR="00A81F59">
              <w:rPr>
                <w:rFonts w:cstheme="minorHAnsi"/>
                <w:bCs/>
                <w:color w:val="1F3864" w:themeColor="accent5" w:themeShade="80"/>
                <w:szCs w:val="24"/>
              </w:rPr>
              <w:t xml:space="preserve"> 8</w:t>
            </w:r>
            <w:r w:rsidR="002F7618" w:rsidRPr="00FF1197">
              <w:rPr>
                <w:rFonts w:cstheme="minorHAnsi"/>
                <w:bCs/>
                <w:color w:val="1F3864" w:themeColor="accent5" w:themeShade="80"/>
                <w:szCs w:val="24"/>
              </w:rPr>
              <w:t>06</w:t>
            </w:r>
          </w:p>
        </w:tc>
      </w:tr>
      <w:tr w:rsidR="002F7618" w:rsidRPr="00E401F0" w14:paraId="1A7E1B85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A01EFE" w14:textId="77777777" w:rsidR="002F7618" w:rsidRPr="00E812E4" w:rsidRDefault="002F7618" w:rsidP="003774B0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D1AA47" w14:textId="77777777" w:rsidR="002F7618" w:rsidRPr="00FF1197" w:rsidRDefault="002F7618" w:rsidP="003774B0">
            <w:pPr>
              <w:spacing w:after="0"/>
              <w:jc w:val="center"/>
              <w:rPr>
                <w:rFonts w:cstheme="minorHAnsi"/>
                <w:color w:val="1F3864" w:themeColor="accent5" w:themeShade="80"/>
                <w:szCs w:val="24"/>
              </w:rPr>
            </w:pPr>
            <w:r w:rsidRPr="00FF1197">
              <w:rPr>
                <w:rFonts w:cstheme="minorHAnsi"/>
                <w:bCs/>
                <w:color w:val="1F3864" w:themeColor="accent5" w:themeShade="80"/>
                <w:szCs w:val="24"/>
              </w:rPr>
              <w:t>23 277 163</w:t>
            </w:r>
          </w:p>
        </w:tc>
      </w:tr>
      <w:tr w:rsidR="002F7618" w:rsidRPr="00E401F0" w14:paraId="5132081B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F279DB" w14:textId="77777777" w:rsidR="002F7618" w:rsidRPr="00E812E4" w:rsidRDefault="002F7618" w:rsidP="003774B0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39BDC5" w14:textId="77777777" w:rsidR="002F7618" w:rsidRPr="00FF1197" w:rsidRDefault="002F7618" w:rsidP="003774B0">
            <w:pPr>
              <w:spacing w:after="0"/>
              <w:jc w:val="center"/>
              <w:rPr>
                <w:rFonts w:cstheme="minorHAnsi"/>
                <w:color w:val="1F3864" w:themeColor="accent5" w:themeShade="80"/>
                <w:szCs w:val="24"/>
              </w:rPr>
            </w:pPr>
            <w:r w:rsidRPr="00FF1197">
              <w:rPr>
                <w:rFonts w:cstheme="minorHAnsi"/>
                <w:bCs/>
                <w:color w:val="1F3864" w:themeColor="accent5" w:themeShade="80"/>
                <w:szCs w:val="24"/>
              </w:rPr>
              <w:t>20 883 916</w:t>
            </w:r>
          </w:p>
        </w:tc>
      </w:tr>
    </w:tbl>
    <w:p w14:paraId="43F111A9" w14:textId="77777777" w:rsidR="005A3FC6" w:rsidRDefault="005A3FC6" w:rsidP="002F7618">
      <w:pPr>
        <w:pStyle w:val="Legenda"/>
        <w:rPr>
          <w:noProof/>
        </w:rPr>
      </w:pPr>
      <w:bookmarkStart w:id="56" w:name="_Toc216787140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13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</w:t>
      </w:r>
      <w:r w:rsidR="00F5163A" w:rsidRPr="00E401F0">
        <w:rPr>
          <w:noProof/>
        </w:rPr>
        <w:t xml:space="preserve"> regularnych</w:t>
      </w:r>
      <w:r w:rsidR="009D5AEF">
        <w:rPr>
          <w:noProof/>
        </w:rPr>
        <w:t xml:space="preserve"> </w:t>
      </w:r>
      <w:r w:rsidRPr="00E401F0">
        <w:rPr>
          <w:noProof/>
        </w:rPr>
        <w:t>– narastająco</w:t>
      </w:r>
      <w:bookmarkEnd w:id="56"/>
    </w:p>
    <w:p w14:paraId="123F59F0" w14:textId="77777777" w:rsidR="00037463" w:rsidRDefault="00037463" w:rsidP="0003746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51A7CF60" wp14:editId="29669184">
            <wp:extent cx="3362400" cy="1742400"/>
            <wp:effectExtent l="0" t="0" r="0" b="0"/>
            <wp:docPr id="63" name="Wykres 63" descr="Wykres przedstawia zmiany zachodzące w minionych kwartałach danego roku w ruchu regularnym w porównaniu do analogicznego okresu z poprzedniego roku, a także sprzed 2 lat. Dane przedstawione w Tabeli 13.2 poniżej." title="Wykres 13.2 Dynamika ruchu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22B9DF6" w14:textId="51674C17" w:rsidR="00037463" w:rsidRPr="00037463" w:rsidRDefault="00037463" w:rsidP="00287932">
      <w:pPr>
        <w:pStyle w:val="Legenda"/>
      </w:pPr>
      <w:bookmarkStart w:id="57" w:name="_Toc219462797"/>
      <w:r w:rsidRPr="0003746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13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037463">
        <w:rPr>
          <w:noProof/>
        </w:rPr>
        <w:t xml:space="preserve"> </w:t>
      </w:r>
      <w:r w:rsidR="001B72F1" w:rsidRPr="001B72F1">
        <w:rPr>
          <w:noProof/>
        </w:rPr>
        <w:t>Dynamika ruchu regularnego – narastająco – wykres przedstawia zmiany zachodzące w pierwszej połowie 2025 roku w ruchu regularnym w porównaniu do lat 2024 i</w:t>
      </w:r>
      <w:r w:rsidR="001B72F1" w:rsidRPr="001B72F1">
        <w:rPr>
          <w:i w:val="0"/>
          <w:iCs w:val="0"/>
          <w:szCs w:val="22"/>
        </w:rPr>
        <w:t xml:space="preserve"> </w:t>
      </w:r>
      <w:r w:rsidR="001B72F1" w:rsidRPr="001B72F1">
        <w:rPr>
          <w:noProof/>
        </w:rPr>
        <w:t>2023</w:t>
      </w:r>
      <w:bookmarkEnd w:id="57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3.2 Dynamika ruchu regularnego – narastająco"/>
        <w:tblDescription w:val="Tabela przedstawia zmiany zachodzące w minionych kwartałach danego roku w ruchu regularnym w porównaniu do analogicznego okresu z poprzedniego roku, a także sprzed 2 lat. "/>
      </w:tblPr>
      <w:tblGrid>
        <w:gridCol w:w="1680"/>
        <w:gridCol w:w="1500"/>
      </w:tblGrid>
      <w:tr w:rsidR="003B103F" w:rsidRPr="00E401F0" w14:paraId="322C97A3" w14:textId="77777777" w:rsidTr="00086DF6">
        <w:trPr>
          <w:trHeight w:val="317"/>
          <w:tblHeader/>
          <w:jc w:val="center"/>
        </w:trPr>
        <w:tc>
          <w:tcPr>
            <w:tcW w:w="168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7C034" w14:textId="77777777" w:rsidR="003B103F" w:rsidRPr="00E401F0" w:rsidRDefault="003B103F" w:rsidP="003D5DBD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582ED" w14:textId="77777777" w:rsidR="003B103F" w:rsidRPr="00E401F0" w:rsidRDefault="003B103F" w:rsidP="003D5DBD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E812E4" w:rsidRPr="00E401F0" w14:paraId="155E728E" w14:textId="77777777" w:rsidTr="00086DF6">
        <w:trPr>
          <w:trHeight w:val="317"/>
          <w:jc w:val="center"/>
        </w:trPr>
        <w:tc>
          <w:tcPr>
            <w:tcW w:w="16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22460" w14:textId="77777777" w:rsidR="00E812E4" w:rsidRPr="00037463" w:rsidRDefault="002D3F76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 vs 2024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FA60BF" w14:textId="2EDE2D47" w:rsidR="00E812E4" w:rsidRPr="00E812E4" w:rsidRDefault="007D47FC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10,9</w:t>
            </w:r>
            <w:r w:rsidR="00E812E4" w:rsidRPr="00E812E4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E812E4" w:rsidRPr="00E401F0" w14:paraId="0290982A" w14:textId="77777777" w:rsidTr="00086DF6">
        <w:trPr>
          <w:trHeight w:val="317"/>
          <w:jc w:val="center"/>
        </w:trPr>
        <w:tc>
          <w:tcPr>
            <w:tcW w:w="168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D6C1A" w14:textId="77777777" w:rsidR="00E812E4" w:rsidRPr="00037463" w:rsidRDefault="00E812E4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037463">
              <w:rPr>
                <w:rFonts w:cstheme="minorHAnsi"/>
                <w:color w:val="283772"/>
                <w:szCs w:val="24"/>
              </w:rPr>
              <w:t>202</w:t>
            </w:r>
            <w:r w:rsidR="002D3F76">
              <w:rPr>
                <w:rFonts w:cstheme="minorHAnsi"/>
                <w:color w:val="283772"/>
                <w:szCs w:val="24"/>
              </w:rPr>
              <w:t>5 vs 2023</w:t>
            </w:r>
          </w:p>
        </w:tc>
        <w:tc>
          <w:tcPr>
            <w:tcW w:w="150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91C55" w14:textId="014DD205" w:rsidR="00E812E4" w:rsidRPr="00E812E4" w:rsidRDefault="007D47FC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23,6</w:t>
            </w:r>
            <w:r w:rsidR="00E812E4" w:rsidRPr="00E812E4">
              <w:rPr>
                <w:rFonts w:cstheme="minorHAnsi"/>
                <w:color w:val="283772"/>
                <w:szCs w:val="24"/>
              </w:rPr>
              <w:t>%</w:t>
            </w:r>
          </w:p>
        </w:tc>
      </w:tr>
    </w:tbl>
    <w:p w14:paraId="002A27FA" w14:textId="6BDF1B58" w:rsidR="00150362" w:rsidRDefault="00150362" w:rsidP="002F7618">
      <w:pPr>
        <w:pStyle w:val="Legenda"/>
        <w:spacing w:after="360"/>
        <w:rPr>
          <w:noProof/>
        </w:rPr>
      </w:pPr>
      <w:bookmarkStart w:id="58" w:name="_Toc216787141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13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</w:t>
      </w:r>
      <w:r w:rsidR="00F5163A" w:rsidRPr="00E401F0">
        <w:rPr>
          <w:noProof/>
        </w:rPr>
        <w:t xml:space="preserve"> regularnego</w:t>
      </w:r>
      <w:r w:rsidRPr="00E401F0">
        <w:rPr>
          <w:noProof/>
        </w:rPr>
        <w:t xml:space="preserve"> – narastająco</w:t>
      </w:r>
      <w:bookmarkEnd w:id="58"/>
    </w:p>
    <w:p w14:paraId="6C4C5572" w14:textId="77777777" w:rsidR="00EF21A5" w:rsidRPr="00E401F0" w:rsidRDefault="00574DE0" w:rsidP="005A6434">
      <w:pPr>
        <w:pStyle w:val="Nagwek1"/>
      </w:pPr>
      <w:bookmarkStart w:id="59" w:name="_Toc178665055"/>
      <w:r w:rsidRPr="00E401F0">
        <w:t>Przewozy regularne - kwartał</w:t>
      </w:r>
      <w:bookmarkEnd w:id="59"/>
    </w:p>
    <w:p w14:paraId="4776ED05" w14:textId="77777777"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225206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polski rynek przewozów regularnych obsłużył </w:t>
      </w:r>
      <w:r w:rsidR="006A24EB">
        <w:rPr>
          <w:rFonts w:cstheme="minorHAnsi"/>
          <w:szCs w:val="24"/>
        </w:rPr>
        <w:t xml:space="preserve">o </w:t>
      </w:r>
      <w:r w:rsidR="00166766">
        <w:rPr>
          <w:rFonts w:cstheme="minorHAnsi"/>
          <w:szCs w:val="24"/>
        </w:rPr>
        <w:t xml:space="preserve">1,5 mln </w:t>
      </w:r>
      <w:r w:rsidRPr="00E401F0">
        <w:rPr>
          <w:rFonts w:cstheme="minorHAnsi"/>
          <w:szCs w:val="24"/>
        </w:rPr>
        <w:t>pasażerów więcej, niż w analogicznym okresie 202</w:t>
      </w:r>
      <w:r w:rsidR="00225206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(+</w:t>
      </w:r>
      <w:r w:rsidR="00225206">
        <w:rPr>
          <w:rFonts w:cstheme="minorHAnsi"/>
          <w:szCs w:val="24"/>
        </w:rPr>
        <w:t>1</w:t>
      </w:r>
      <w:r w:rsidR="00166766">
        <w:rPr>
          <w:rFonts w:cstheme="minorHAnsi"/>
          <w:szCs w:val="24"/>
        </w:rPr>
        <w:t>1,5</w:t>
      </w:r>
      <w:r w:rsidRPr="00E401F0">
        <w:rPr>
          <w:rFonts w:cstheme="minorHAnsi"/>
          <w:szCs w:val="24"/>
        </w:rPr>
        <w:t xml:space="preserve">%) i o </w:t>
      </w:r>
      <w:r w:rsidR="00166766">
        <w:rPr>
          <w:rFonts w:cstheme="minorHAnsi"/>
          <w:szCs w:val="24"/>
        </w:rPr>
        <w:t>2,7</w:t>
      </w:r>
      <w:r w:rsidR="00F03635">
        <w:rPr>
          <w:rFonts w:cstheme="minorHAnsi"/>
          <w:szCs w:val="24"/>
        </w:rPr>
        <w:t xml:space="preserve"> mln</w:t>
      </w:r>
      <w:r w:rsidRPr="00E401F0">
        <w:rPr>
          <w:rFonts w:cstheme="minorHAnsi"/>
          <w:szCs w:val="24"/>
        </w:rPr>
        <w:t xml:space="preserve"> pasażerów więcej (+</w:t>
      </w:r>
      <w:r w:rsidR="00225206">
        <w:rPr>
          <w:rFonts w:cstheme="minorHAnsi"/>
          <w:szCs w:val="24"/>
        </w:rPr>
        <w:t>2</w:t>
      </w:r>
      <w:r w:rsidR="00166766">
        <w:rPr>
          <w:rFonts w:cstheme="minorHAnsi"/>
          <w:szCs w:val="24"/>
        </w:rPr>
        <w:t>2,5</w:t>
      </w:r>
      <w:r w:rsidRPr="00E401F0">
        <w:rPr>
          <w:rFonts w:cstheme="minorHAnsi"/>
          <w:szCs w:val="24"/>
        </w:rPr>
        <w:t xml:space="preserve">%) niż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225206">
        <w:rPr>
          <w:rFonts w:cstheme="minorHAnsi"/>
          <w:szCs w:val="24"/>
        </w:rPr>
        <w:t xml:space="preserve"> 2023</w:t>
      </w:r>
      <w:r w:rsidRPr="00E401F0">
        <w:rPr>
          <w:rFonts w:cstheme="minorHAnsi"/>
          <w:szCs w:val="24"/>
        </w:rPr>
        <w:t xml:space="preserve"> roku. </w:t>
      </w:r>
    </w:p>
    <w:p w14:paraId="386FB727" w14:textId="52218246"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Najbardziej popularnym kierunkiem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również była Wielka Brytania</w:t>
      </w:r>
      <w:r w:rsidR="00150362" w:rsidRPr="00E401F0">
        <w:rPr>
          <w:rFonts w:cstheme="minorHAnsi"/>
          <w:szCs w:val="24"/>
        </w:rPr>
        <w:t>, natomiast</w:t>
      </w:r>
      <w:r w:rsidRPr="00E401F0">
        <w:rPr>
          <w:rFonts w:cstheme="minorHAnsi"/>
          <w:szCs w:val="24"/>
        </w:rPr>
        <w:t xml:space="preserve"> największe wzrosty </w:t>
      </w:r>
      <w:r w:rsidR="00D61D15">
        <w:rPr>
          <w:rFonts w:cstheme="minorHAnsi"/>
          <w:szCs w:val="24"/>
        </w:rPr>
        <w:t>wzg</w:t>
      </w:r>
      <w:r w:rsidR="00225206">
        <w:rPr>
          <w:rFonts w:cstheme="minorHAnsi"/>
          <w:szCs w:val="24"/>
        </w:rPr>
        <w:t>lędem drugiego kwartału 2024</w:t>
      </w:r>
      <w:r w:rsidR="00D61D15">
        <w:rPr>
          <w:rFonts w:cstheme="minorHAnsi"/>
          <w:szCs w:val="24"/>
        </w:rPr>
        <w:t xml:space="preserve"> roku </w:t>
      </w:r>
      <w:r w:rsidR="00EA13B7">
        <w:rPr>
          <w:rFonts w:cstheme="minorHAnsi"/>
          <w:szCs w:val="24"/>
        </w:rPr>
        <w:t xml:space="preserve">uzyskały trasy </w:t>
      </w:r>
      <w:r w:rsidR="00225206">
        <w:rPr>
          <w:rFonts w:cstheme="minorHAnsi"/>
          <w:szCs w:val="24"/>
        </w:rPr>
        <w:t xml:space="preserve">z/do </w:t>
      </w:r>
      <w:r w:rsidR="004D0C4A">
        <w:rPr>
          <w:rFonts w:cstheme="minorHAnsi"/>
          <w:szCs w:val="24"/>
        </w:rPr>
        <w:t>Włoch</w:t>
      </w:r>
      <w:r w:rsidR="00225206">
        <w:rPr>
          <w:rFonts w:cstheme="minorHAnsi"/>
          <w:szCs w:val="24"/>
        </w:rPr>
        <w:t xml:space="preserve"> (+485,9 tys.</w:t>
      </w:r>
      <w:r w:rsidRPr="00E401F0">
        <w:rPr>
          <w:rFonts w:cstheme="minorHAnsi"/>
          <w:szCs w:val="24"/>
        </w:rPr>
        <w:t>)</w:t>
      </w:r>
      <w:r w:rsidR="007350A6">
        <w:rPr>
          <w:rFonts w:cstheme="minorHAnsi"/>
          <w:szCs w:val="24"/>
        </w:rPr>
        <w:t>,</w:t>
      </w:r>
      <w:r w:rsidR="00225206">
        <w:rPr>
          <w:rFonts w:cstheme="minorHAnsi"/>
          <w:szCs w:val="24"/>
        </w:rPr>
        <w:t> </w:t>
      </w:r>
      <w:r w:rsidR="00225206" w:rsidRPr="00E401F0">
        <w:rPr>
          <w:rFonts w:cstheme="minorHAnsi"/>
          <w:szCs w:val="24"/>
        </w:rPr>
        <w:t xml:space="preserve">Hiszpanii </w:t>
      </w:r>
      <w:r w:rsidR="00225206">
        <w:rPr>
          <w:rFonts w:cstheme="minorHAnsi"/>
          <w:szCs w:val="24"/>
        </w:rPr>
        <w:t>(</w:t>
      </w:r>
      <w:r w:rsidR="00225206" w:rsidRPr="00E401F0">
        <w:rPr>
          <w:rFonts w:cstheme="minorHAnsi"/>
          <w:szCs w:val="24"/>
        </w:rPr>
        <w:t>+</w:t>
      </w:r>
      <w:r w:rsidR="00225206">
        <w:rPr>
          <w:rFonts w:cstheme="minorHAnsi"/>
          <w:szCs w:val="24"/>
        </w:rPr>
        <w:t>142,2</w:t>
      </w:r>
      <w:r w:rsidR="00225206" w:rsidRPr="00E401F0">
        <w:rPr>
          <w:rFonts w:cstheme="minorHAnsi"/>
          <w:szCs w:val="24"/>
        </w:rPr>
        <w:t xml:space="preserve"> tys.)</w:t>
      </w:r>
      <w:r w:rsidR="007350A6">
        <w:rPr>
          <w:rFonts w:cstheme="minorHAnsi"/>
          <w:szCs w:val="24"/>
        </w:rPr>
        <w:t xml:space="preserve"> i Chorwacji (+81,7 tys.).</w:t>
      </w:r>
      <w:r w:rsidR="00225206" w:rsidRPr="00E401F0">
        <w:rPr>
          <w:rFonts w:cstheme="minorHAnsi"/>
          <w:szCs w:val="24"/>
        </w:rPr>
        <w:t xml:space="preserve"> </w:t>
      </w:r>
      <w:r w:rsidR="007350A6">
        <w:rPr>
          <w:rFonts w:cstheme="minorHAnsi"/>
          <w:szCs w:val="24"/>
        </w:rPr>
        <w:t>Największe spadki wystąpiły w przypadku tras do/z Albanii, Austrii i Norwegii.</w:t>
      </w:r>
    </w:p>
    <w:p w14:paraId="30D220F2" w14:textId="77F93CBB"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Największe wzrosty wśród portów lotniczych w porównaniu do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</w:t>
      </w:r>
      <w:r w:rsidR="007350A6" w:rsidRPr="00E401F0">
        <w:rPr>
          <w:rFonts w:cstheme="minorHAnsi"/>
          <w:szCs w:val="24"/>
        </w:rPr>
        <w:t>202</w:t>
      </w:r>
      <w:r w:rsidR="007350A6">
        <w:rPr>
          <w:rFonts w:cstheme="minorHAnsi"/>
          <w:szCs w:val="24"/>
        </w:rPr>
        <w:t>4</w:t>
      </w:r>
      <w:r w:rsidR="007350A6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roku miały Lotnisko Chopina (+</w:t>
      </w:r>
      <w:r w:rsidR="00166766">
        <w:rPr>
          <w:rFonts w:cstheme="minorHAnsi"/>
          <w:szCs w:val="24"/>
        </w:rPr>
        <w:t>646,</w:t>
      </w:r>
      <w:r w:rsidR="00333DA7">
        <w:rPr>
          <w:rFonts w:cstheme="minorHAnsi"/>
          <w:szCs w:val="24"/>
        </w:rPr>
        <w:t>3</w:t>
      </w:r>
      <w:r w:rsidR="00333DA7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tys.), Kraków-Balice (+</w:t>
      </w:r>
      <w:r w:rsidR="00166766">
        <w:rPr>
          <w:rFonts w:cstheme="minorHAnsi"/>
          <w:szCs w:val="24"/>
        </w:rPr>
        <w:t>471,9</w:t>
      </w:r>
      <w:r w:rsidR="00333DA7">
        <w:rPr>
          <w:rFonts w:cstheme="minorHAnsi"/>
          <w:szCs w:val="24"/>
        </w:rPr>
        <w:t xml:space="preserve"> </w:t>
      </w:r>
      <w:r w:rsidR="00220CAE">
        <w:rPr>
          <w:rFonts w:cstheme="minorHAnsi"/>
          <w:szCs w:val="24"/>
        </w:rPr>
        <w:t xml:space="preserve">tys.) oraz port </w:t>
      </w:r>
      <w:r w:rsidR="00166766">
        <w:rPr>
          <w:rFonts w:cstheme="minorHAnsi"/>
          <w:szCs w:val="24"/>
        </w:rPr>
        <w:t>lotniczy w Gdańsku (+204,</w:t>
      </w:r>
      <w:r w:rsidR="00333DA7">
        <w:rPr>
          <w:rFonts w:cstheme="minorHAnsi"/>
          <w:szCs w:val="24"/>
        </w:rPr>
        <w:t xml:space="preserve">8 </w:t>
      </w:r>
      <w:r w:rsidR="00166766">
        <w:rPr>
          <w:rFonts w:cstheme="minorHAnsi"/>
          <w:szCs w:val="24"/>
        </w:rPr>
        <w:t>tys.)</w:t>
      </w:r>
      <w:r w:rsidR="007350A6">
        <w:rPr>
          <w:rFonts w:cstheme="minorHAnsi"/>
          <w:szCs w:val="24"/>
        </w:rPr>
        <w:t>.</w:t>
      </w:r>
      <w:r w:rsidR="00166766">
        <w:rPr>
          <w:rFonts w:cstheme="minorHAnsi"/>
          <w:szCs w:val="24"/>
        </w:rPr>
        <w:t xml:space="preserve"> </w:t>
      </w:r>
      <w:r w:rsidR="00333DA7">
        <w:rPr>
          <w:rFonts w:cstheme="minorHAnsi"/>
          <w:szCs w:val="24"/>
        </w:rPr>
        <w:t>Spadki wystąpiły natomiast w przypadku portów lotniczych Warszawa-Modlin oraz Warszawa-Radom.</w:t>
      </w:r>
    </w:p>
    <w:p w14:paraId="0846AC39" w14:textId="3233836C" w:rsidR="003B103F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Przewoźnicy niskokosztowi </w:t>
      </w:r>
      <w:r w:rsidR="00FD7200" w:rsidRPr="00E401F0">
        <w:rPr>
          <w:rFonts w:cstheme="minorHAnsi"/>
          <w:szCs w:val="24"/>
        </w:rPr>
        <w:t xml:space="preserve">w </w:t>
      </w:r>
      <w:r w:rsidR="00AE5EBE">
        <w:rPr>
          <w:rFonts w:cstheme="minorHAnsi"/>
          <w:szCs w:val="24"/>
        </w:rPr>
        <w:t>drugim</w:t>
      </w:r>
      <w:r w:rsidR="00150362" w:rsidRPr="00E401F0">
        <w:rPr>
          <w:rFonts w:cstheme="minorHAnsi"/>
          <w:szCs w:val="24"/>
        </w:rPr>
        <w:t xml:space="preserve"> kwartale</w:t>
      </w:r>
      <w:r w:rsidR="00FD7200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202</w:t>
      </w:r>
      <w:r w:rsidR="00DA3C9A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posiadali </w:t>
      </w:r>
      <w:r w:rsidR="00106CAA">
        <w:rPr>
          <w:rFonts w:cstheme="minorHAnsi"/>
          <w:szCs w:val="24"/>
        </w:rPr>
        <w:t>66</w:t>
      </w:r>
      <w:r w:rsidR="00220CAE">
        <w:rPr>
          <w:rFonts w:cstheme="minorHAnsi"/>
          <w:szCs w:val="24"/>
        </w:rPr>
        <w:t>% udziałów w </w:t>
      </w:r>
      <w:r w:rsidRPr="00E401F0">
        <w:rPr>
          <w:rFonts w:cstheme="minorHAnsi"/>
          <w:szCs w:val="24"/>
        </w:rPr>
        <w:t xml:space="preserve">regularnych przewozach międzynarodowych, a sieciowi </w:t>
      </w:r>
      <w:r w:rsidR="00106CAA">
        <w:rPr>
          <w:rFonts w:cstheme="minorHAnsi"/>
          <w:szCs w:val="24"/>
        </w:rPr>
        <w:t>31</w:t>
      </w:r>
      <w:r w:rsidR="00166766">
        <w:rPr>
          <w:rFonts w:cstheme="minorHAnsi"/>
          <w:szCs w:val="24"/>
        </w:rPr>
        <w:t>,2</w:t>
      </w:r>
      <w:r w:rsidRPr="00E401F0">
        <w:rPr>
          <w:rFonts w:cstheme="minorHAnsi"/>
          <w:szCs w:val="24"/>
        </w:rPr>
        <w:t>% (</w:t>
      </w:r>
      <w:r w:rsidR="00984077">
        <w:rPr>
          <w:rFonts w:cstheme="minorHAnsi"/>
          <w:szCs w:val="24"/>
        </w:rPr>
        <w:t>2,8%</w:t>
      </w:r>
      <w:r w:rsidRPr="00E401F0">
        <w:rPr>
          <w:rFonts w:cstheme="minorHAnsi"/>
          <w:szCs w:val="24"/>
        </w:rPr>
        <w:t xml:space="preserve"> należy do przewoźników czarterowych). </w:t>
      </w:r>
      <w:r w:rsidR="00333DA7">
        <w:rPr>
          <w:rFonts w:cstheme="minorHAnsi"/>
          <w:szCs w:val="24"/>
        </w:rPr>
        <w:t>Oznacza to nieznaczny spadek udziałów przewoźników czarterowych na rzecz przewoźników sieciowych (o 0,2 punktu procentowego) w porównaniu do drugiego kwartału 2024 roku.</w:t>
      </w:r>
    </w:p>
    <w:p w14:paraId="1A49C50D" w14:textId="77777777" w:rsidR="00037463" w:rsidRDefault="00037463" w:rsidP="00037463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6F72BDB2" wp14:editId="5EE9475F">
            <wp:extent cx="4680000" cy="2340000"/>
            <wp:effectExtent l="0" t="0" r="6350" b="3175"/>
            <wp:docPr id="64" name="Wykres 64" descr="Wykres przedstawia liczbę przewiezionych pasażerów w ruchu regularnym w danym kwartale z uwzględnieniem tego samego okresu poprzednich 2 lat. Dane przedstawione w Tabeli 14.1 poniżej." title="Wykres 14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A0903EB" w14:textId="6DD4FB9B" w:rsidR="00853AF7" w:rsidRPr="00853AF7" w:rsidRDefault="00D62FC1" w:rsidP="00050164">
      <w:pPr>
        <w:pStyle w:val="Legenda"/>
        <w:rPr>
          <w:noProof/>
        </w:rPr>
      </w:pPr>
      <w:r w:rsidRPr="002610D2">
        <w:rPr>
          <w:b/>
          <w:noProof/>
        </w:rPr>
        <w:t>Wykres 14.1</w:t>
      </w:r>
      <w:r>
        <w:rPr>
          <w:noProof/>
        </w:rPr>
        <w:t xml:space="preserve"> </w:t>
      </w:r>
      <w:r w:rsidR="001B72F1" w:rsidRPr="001B72F1">
        <w:rPr>
          <w:noProof/>
        </w:rPr>
        <w:t>Liczba pasażerów regularnych w przewozach regularnych (mln) – kwartał – wykres przedstawia liczbę przewiezionych pasażerów w ruchu regularnym w drugim kwartale 2025</w:t>
      </w:r>
      <w:r w:rsidR="00050164">
        <w:rPr>
          <w:noProof/>
        </w:rPr>
        <w:t xml:space="preserve"> roku wraz z latami 2024 i 2023</w:t>
      </w:r>
    </w:p>
    <w:tbl>
      <w:tblPr>
        <w:tblW w:w="3518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4.1 Liczba pasażerów regularnych (mln) – kwartał"/>
        <w:tblDescription w:val="Tabela przedstawia liczbę przewiezionych pasażerów w ruchu regularnym w danym kwartale z uwzględnieniem tego samego okresu poprzednich 2 lat. "/>
      </w:tblPr>
      <w:tblGrid>
        <w:gridCol w:w="1759"/>
        <w:gridCol w:w="1759"/>
      </w:tblGrid>
      <w:tr w:rsidR="003B103F" w:rsidRPr="00E401F0" w14:paraId="09783D3C" w14:textId="77777777" w:rsidTr="00086DF6">
        <w:trPr>
          <w:trHeight w:val="317"/>
          <w:tblHeader/>
          <w:jc w:val="center"/>
        </w:trPr>
        <w:tc>
          <w:tcPr>
            <w:tcW w:w="1759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83493" w14:textId="77777777" w:rsidR="003B103F" w:rsidRPr="00E401F0" w:rsidRDefault="00853AF7" w:rsidP="00086DF6">
            <w:pPr>
              <w:spacing w:after="0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759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5BBF3" w14:textId="77777777" w:rsidR="003B103F" w:rsidRPr="00E401F0" w:rsidRDefault="003B103F" w:rsidP="00086DF6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E812E4" w:rsidRPr="00E401F0" w14:paraId="346DF690" w14:textId="77777777" w:rsidTr="00086DF6">
        <w:trPr>
          <w:trHeight w:val="317"/>
          <w:jc w:val="center"/>
        </w:trPr>
        <w:tc>
          <w:tcPr>
            <w:tcW w:w="1759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D1E61C" w14:textId="77777777" w:rsidR="00E812E4" w:rsidRPr="00E812E4" w:rsidRDefault="00287932" w:rsidP="00086DF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759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75ACAB" w14:textId="77777777" w:rsidR="00E812E4" w:rsidRPr="00086DF6" w:rsidRDefault="00A81F59" w:rsidP="00086DF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086DF6">
              <w:rPr>
                <w:rFonts w:cstheme="minorHAnsi"/>
                <w:color w:val="283772"/>
                <w:szCs w:val="24"/>
              </w:rPr>
              <w:t>14 671 0</w:t>
            </w:r>
            <w:r w:rsidR="00287932" w:rsidRPr="00086DF6">
              <w:rPr>
                <w:rFonts w:cstheme="minorHAnsi"/>
                <w:color w:val="283772"/>
                <w:szCs w:val="24"/>
              </w:rPr>
              <w:t>63</w:t>
            </w:r>
          </w:p>
        </w:tc>
      </w:tr>
      <w:tr w:rsidR="00E812E4" w:rsidRPr="00E401F0" w14:paraId="209FBB1B" w14:textId="77777777" w:rsidTr="00086DF6">
        <w:trPr>
          <w:trHeight w:val="317"/>
          <w:jc w:val="center"/>
        </w:trPr>
        <w:tc>
          <w:tcPr>
            <w:tcW w:w="17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98AF00" w14:textId="77777777" w:rsidR="00E812E4" w:rsidRPr="00E812E4" w:rsidRDefault="00287932" w:rsidP="00086DF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7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7E9825" w14:textId="77777777" w:rsidR="00E812E4" w:rsidRPr="00086DF6" w:rsidRDefault="00287932" w:rsidP="00086DF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086DF6">
              <w:rPr>
                <w:rFonts w:cstheme="minorHAnsi"/>
                <w:color w:val="283772"/>
                <w:szCs w:val="24"/>
              </w:rPr>
              <w:t>13 158 140</w:t>
            </w:r>
          </w:p>
        </w:tc>
      </w:tr>
      <w:tr w:rsidR="00E812E4" w:rsidRPr="00E401F0" w14:paraId="3D6EA899" w14:textId="77777777" w:rsidTr="00086DF6">
        <w:trPr>
          <w:trHeight w:val="317"/>
          <w:jc w:val="center"/>
        </w:trPr>
        <w:tc>
          <w:tcPr>
            <w:tcW w:w="1759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D9B16F" w14:textId="77777777" w:rsidR="00E812E4" w:rsidRPr="00E812E4" w:rsidRDefault="00287932" w:rsidP="00086DF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759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78B2C2" w14:textId="77777777" w:rsidR="00E812E4" w:rsidRPr="00086DF6" w:rsidRDefault="00287932" w:rsidP="00086DF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086DF6">
              <w:rPr>
                <w:rFonts w:cstheme="minorHAnsi"/>
                <w:color w:val="283772"/>
                <w:szCs w:val="24"/>
              </w:rPr>
              <w:t>11 974 195</w:t>
            </w:r>
          </w:p>
        </w:tc>
      </w:tr>
    </w:tbl>
    <w:p w14:paraId="5946D39E" w14:textId="77777777" w:rsidR="00150362" w:rsidRDefault="00150362">
      <w:pPr>
        <w:pStyle w:val="Legenda"/>
        <w:rPr>
          <w:noProof/>
        </w:rPr>
      </w:pPr>
      <w:bookmarkStart w:id="60" w:name="_Toc216787142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14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</w:t>
      </w:r>
      <w:r w:rsidR="00F5163A" w:rsidRPr="00E401F0">
        <w:rPr>
          <w:noProof/>
        </w:rPr>
        <w:t xml:space="preserve"> regularnych</w:t>
      </w:r>
      <w:r w:rsidR="009D5AEF">
        <w:rPr>
          <w:noProof/>
        </w:rPr>
        <w:t xml:space="preserve"> </w:t>
      </w:r>
      <w:r w:rsidRPr="00E401F0">
        <w:rPr>
          <w:noProof/>
        </w:rPr>
        <w:t>– kwartał</w:t>
      </w:r>
      <w:bookmarkEnd w:id="60"/>
    </w:p>
    <w:p w14:paraId="0D312CAB" w14:textId="77777777" w:rsidR="00853AF7" w:rsidRDefault="00853AF7" w:rsidP="00037463">
      <w:pPr>
        <w:keepNext/>
        <w:jc w:val="center"/>
      </w:pPr>
    </w:p>
    <w:p w14:paraId="328B4E8D" w14:textId="77777777" w:rsidR="00037463" w:rsidRDefault="00037463" w:rsidP="0003746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1257FE82" wp14:editId="36640039">
            <wp:extent cx="3600000" cy="1922400"/>
            <wp:effectExtent l="0" t="0" r="635" b="1905"/>
            <wp:docPr id="65" name="Wykres 65" descr="Wykres przedstawia zmiany zachodzące w danym kwartale w ruchu regularnym w porównaniu do analogicznego okresu roku poprzedniego, a także sprzed 2 lat. Dane przedstawione w Tabeli 14.2 poniżej." title="Wykres 14.2 Dynamika ruchu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37473689" w14:textId="10B3AEF7" w:rsidR="00037463" w:rsidRPr="00853AF7" w:rsidRDefault="00037463" w:rsidP="00A9325B">
      <w:pPr>
        <w:pStyle w:val="Legenda"/>
        <w:rPr>
          <w:i w:val="0"/>
          <w:iCs w:val="0"/>
          <w:szCs w:val="22"/>
        </w:rPr>
      </w:pPr>
      <w:bookmarkStart w:id="61" w:name="_Toc219462798"/>
      <w:r w:rsidRPr="0003746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14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037463">
        <w:rPr>
          <w:noProof/>
        </w:rPr>
        <w:t xml:space="preserve"> </w:t>
      </w:r>
      <w:r w:rsidR="001B72F1" w:rsidRPr="001B72F1">
        <w:t>Dynamika ruchu regularnego – kwartał – wykres przedstawia zmiany zachodzące w pierwszej połowie 2025 roku w ruchu regularnym w porównaniu do lat 2024 i 2023</w:t>
      </w:r>
      <w:bookmarkEnd w:id="61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4.2 Dynamika ruchu regularnego – kwartał"/>
        <w:tblDescription w:val="Tabela przedstawia zmiany zachodzące w danym kwartale w ruchu regularnym w porównaniu do analogicznego okresu roku poprzedniego, a także sprzed 2 lat. "/>
      </w:tblPr>
      <w:tblGrid>
        <w:gridCol w:w="1680"/>
        <w:gridCol w:w="1500"/>
      </w:tblGrid>
      <w:tr w:rsidR="003B103F" w:rsidRPr="00E401F0" w14:paraId="742F58F5" w14:textId="77777777" w:rsidTr="00086DF6">
        <w:trPr>
          <w:trHeight w:val="317"/>
          <w:tblHeader/>
          <w:jc w:val="center"/>
        </w:trPr>
        <w:tc>
          <w:tcPr>
            <w:tcW w:w="168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3EEC0" w14:textId="77777777" w:rsidR="003B103F" w:rsidRPr="00E401F0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B1272" w14:textId="77777777" w:rsidR="003B103F" w:rsidRPr="00E401F0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E812E4" w:rsidRPr="00E401F0" w14:paraId="20F03A5A" w14:textId="77777777" w:rsidTr="00086DF6">
        <w:trPr>
          <w:trHeight w:val="317"/>
          <w:jc w:val="center"/>
        </w:trPr>
        <w:tc>
          <w:tcPr>
            <w:tcW w:w="16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749C06" w14:textId="77777777" w:rsidR="00E812E4" w:rsidRPr="00E812E4" w:rsidRDefault="00784A6F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 vs 2024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92771C" w14:textId="51E22CED" w:rsidR="00E812E4" w:rsidRPr="00E812E4" w:rsidRDefault="007D47FC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11,5</w:t>
            </w:r>
            <w:r w:rsidR="00E812E4" w:rsidRPr="00E812E4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E812E4" w:rsidRPr="00E401F0" w14:paraId="30710464" w14:textId="77777777" w:rsidTr="00086DF6">
        <w:trPr>
          <w:trHeight w:val="317"/>
          <w:jc w:val="center"/>
        </w:trPr>
        <w:tc>
          <w:tcPr>
            <w:tcW w:w="168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FB459E" w14:textId="77777777" w:rsidR="00E812E4" w:rsidRPr="00E812E4" w:rsidRDefault="00784A6F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 vs 2023</w:t>
            </w:r>
          </w:p>
        </w:tc>
        <w:tc>
          <w:tcPr>
            <w:tcW w:w="150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AA9DB5" w14:textId="7C27AEB3" w:rsidR="00E812E4" w:rsidRPr="00E812E4" w:rsidRDefault="007D47FC" w:rsidP="00E812E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22,5</w:t>
            </w:r>
            <w:r w:rsidR="00E812E4" w:rsidRPr="00E812E4">
              <w:rPr>
                <w:rFonts w:cstheme="minorHAnsi"/>
                <w:color w:val="283772"/>
                <w:szCs w:val="24"/>
              </w:rPr>
              <w:t>%</w:t>
            </w:r>
          </w:p>
        </w:tc>
      </w:tr>
    </w:tbl>
    <w:p w14:paraId="55EC388B" w14:textId="3B3F3202" w:rsidR="00086DF6" w:rsidRDefault="00FE34CE" w:rsidP="00DA4DCC">
      <w:pPr>
        <w:pStyle w:val="Legenda"/>
        <w:spacing w:after="960"/>
        <w:rPr>
          <w:i w:val="0"/>
          <w:iCs w:val="0"/>
          <w:noProof/>
        </w:rPr>
      </w:pPr>
      <w:bookmarkStart w:id="62" w:name="_Toc216787143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14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</w:t>
      </w:r>
      <w:r w:rsidR="00F5163A" w:rsidRPr="00E401F0">
        <w:rPr>
          <w:noProof/>
        </w:rPr>
        <w:t xml:space="preserve"> regularnego</w:t>
      </w:r>
      <w:r w:rsidRPr="00E401F0">
        <w:rPr>
          <w:noProof/>
        </w:rPr>
        <w:t xml:space="preserve"> – kwartał</w:t>
      </w:r>
      <w:bookmarkEnd w:id="62"/>
    </w:p>
    <w:p w14:paraId="0B7BBB99" w14:textId="77777777" w:rsidR="003B103F" w:rsidRPr="00E401F0" w:rsidRDefault="00574DE0" w:rsidP="005A6434">
      <w:pPr>
        <w:pStyle w:val="Nagwek1"/>
      </w:pPr>
      <w:bookmarkStart w:id="63" w:name="_Toc178665056"/>
      <w:r w:rsidRPr="00E401F0">
        <w:lastRenderedPageBreak/>
        <w:t>Przewozy czarterowe - narastająco</w:t>
      </w:r>
      <w:bookmarkEnd w:id="63"/>
    </w:p>
    <w:p w14:paraId="24D88D83" w14:textId="1947CF5D" w:rsidR="003C3BF8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3C3BF8">
        <w:rPr>
          <w:rFonts w:cstheme="minorHAnsi"/>
          <w:szCs w:val="24"/>
        </w:rPr>
        <w:t xml:space="preserve">pierwszej połowie </w:t>
      </w:r>
      <w:r w:rsidR="002E4EA4" w:rsidRPr="00E401F0">
        <w:rPr>
          <w:rFonts w:cstheme="minorHAnsi"/>
          <w:szCs w:val="24"/>
        </w:rPr>
        <w:t>202</w:t>
      </w:r>
      <w:r w:rsidR="00110BB0">
        <w:rPr>
          <w:rFonts w:cstheme="minorHAnsi"/>
          <w:szCs w:val="24"/>
        </w:rPr>
        <w:t>5</w:t>
      </w:r>
      <w:r w:rsidR="002E4EA4" w:rsidRPr="00E401F0">
        <w:rPr>
          <w:rFonts w:cstheme="minorHAnsi"/>
          <w:szCs w:val="24"/>
        </w:rPr>
        <w:t xml:space="preserve"> roku polski rynek </w:t>
      </w:r>
      <w:r w:rsidR="00AC4167">
        <w:rPr>
          <w:noProof/>
        </w:rPr>
        <w:t>międzynarodowych</w:t>
      </w:r>
      <w:r w:rsidR="00AC4167" w:rsidRPr="001B72F1">
        <w:rPr>
          <w:noProof/>
        </w:rPr>
        <w:t xml:space="preserve"> </w:t>
      </w:r>
      <w:r w:rsidR="002E4EA4" w:rsidRPr="00E401F0">
        <w:rPr>
          <w:rFonts w:cstheme="minorHAnsi"/>
          <w:szCs w:val="24"/>
        </w:rPr>
        <w:t xml:space="preserve">przewozów czarterowych obsłużył </w:t>
      </w:r>
      <w:r w:rsidR="00110BB0">
        <w:rPr>
          <w:rFonts w:cstheme="minorHAnsi"/>
          <w:szCs w:val="24"/>
        </w:rPr>
        <w:t>3,9</w:t>
      </w:r>
      <w:r w:rsidR="006A2BE0">
        <w:rPr>
          <w:rFonts w:cstheme="minorHAnsi"/>
          <w:szCs w:val="24"/>
        </w:rPr>
        <w:t xml:space="preserve"> mln pasażerów, a więc o </w:t>
      </w:r>
      <w:r w:rsidR="001D682F">
        <w:rPr>
          <w:rFonts w:cstheme="minorHAnsi"/>
          <w:szCs w:val="24"/>
        </w:rPr>
        <w:t>607,3</w:t>
      </w:r>
      <w:r w:rsidR="00110BB0">
        <w:rPr>
          <w:rFonts w:cstheme="minorHAnsi"/>
          <w:szCs w:val="24"/>
        </w:rPr>
        <w:t xml:space="preserve"> </w:t>
      </w:r>
      <w:r w:rsidR="003C3BF8">
        <w:rPr>
          <w:rFonts w:cstheme="minorHAnsi"/>
          <w:szCs w:val="24"/>
        </w:rPr>
        <w:t>tys.</w:t>
      </w:r>
      <w:r w:rsidR="002E4EA4" w:rsidRPr="00E401F0">
        <w:rPr>
          <w:rFonts w:cstheme="minorHAnsi"/>
          <w:szCs w:val="24"/>
        </w:rPr>
        <w:t xml:space="preserve"> więcej niż w </w:t>
      </w:r>
      <w:r w:rsidR="003C3BF8">
        <w:rPr>
          <w:rFonts w:cstheme="minorHAnsi"/>
          <w:szCs w:val="24"/>
        </w:rPr>
        <w:t xml:space="preserve">analogicznym okresie </w:t>
      </w:r>
      <w:r w:rsidR="001D682F" w:rsidRPr="00E401F0">
        <w:rPr>
          <w:rFonts w:cstheme="minorHAnsi"/>
          <w:szCs w:val="24"/>
        </w:rPr>
        <w:t>202</w:t>
      </w:r>
      <w:r w:rsidR="001D682F">
        <w:rPr>
          <w:rFonts w:cstheme="minorHAnsi"/>
          <w:szCs w:val="24"/>
        </w:rPr>
        <w:t>4</w:t>
      </w:r>
      <w:r w:rsidR="001D682F" w:rsidRPr="00E401F0">
        <w:rPr>
          <w:rFonts w:cstheme="minorHAnsi"/>
          <w:szCs w:val="24"/>
        </w:rPr>
        <w:t xml:space="preserve"> </w:t>
      </w:r>
      <w:r w:rsidR="002E4EA4" w:rsidRPr="00E401F0">
        <w:rPr>
          <w:rFonts w:cstheme="minorHAnsi"/>
          <w:szCs w:val="24"/>
        </w:rPr>
        <w:t xml:space="preserve">roku, co przełożyło się na </w:t>
      </w:r>
      <w:r w:rsidR="00F03748">
        <w:rPr>
          <w:rFonts w:cstheme="minorHAnsi"/>
          <w:szCs w:val="24"/>
        </w:rPr>
        <w:t>18,3</w:t>
      </w:r>
      <w:r w:rsidR="006A2BE0">
        <w:rPr>
          <w:rFonts w:cstheme="minorHAnsi"/>
          <w:szCs w:val="24"/>
        </w:rPr>
        <w:t>% wzrost, natomiast w </w:t>
      </w:r>
      <w:r w:rsidR="002E4EA4" w:rsidRPr="00E401F0">
        <w:rPr>
          <w:rFonts w:cstheme="minorHAnsi"/>
          <w:szCs w:val="24"/>
        </w:rPr>
        <w:t xml:space="preserve">porównaniu do </w:t>
      </w:r>
      <w:r w:rsidR="003C3BF8">
        <w:rPr>
          <w:rFonts w:cstheme="minorHAnsi"/>
          <w:szCs w:val="24"/>
        </w:rPr>
        <w:t xml:space="preserve">pierwszego półrocza </w:t>
      </w:r>
      <w:r w:rsidR="00F03748">
        <w:rPr>
          <w:rFonts w:cstheme="minorHAnsi"/>
          <w:szCs w:val="24"/>
        </w:rPr>
        <w:t>2023</w:t>
      </w:r>
      <w:r w:rsidR="002E4EA4" w:rsidRPr="00E401F0">
        <w:rPr>
          <w:rFonts w:cstheme="minorHAnsi"/>
          <w:szCs w:val="24"/>
        </w:rPr>
        <w:t xml:space="preserve"> roku przewieziono o </w:t>
      </w:r>
      <w:r w:rsidR="00F03748">
        <w:rPr>
          <w:rFonts w:cstheme="minorHAnsi"/>
          <w:szCs w:val="24"/>
        </w:rPr>
        <w:t>1,6</w:t>
      </w:r>
      <w:r w:rsidR="002E4EA4" w:rsidRPr="00E401F0">
        <w:rPr>
          <w:rFonts w:cstheme="minorHAnsi"/>
          <w:szCs w:val="24"/>
        </w:rPr>
        <w:t xml:space="preserve"> </w:t>
      </w:r>
      <w:r w:rsidR="004B1F44" w:rsidRPr="00E401F0">
        <w:rPr>
          <w:rFonts w:cstheme="minorHAnsi"/>
          <w:szCs w:val="24"/>
        </w:rPr>
        <w:t>mln</w:t>
      </w:r>
      <w:r w:rsidR="002E4EA4" w:rsidRPr="00E401F0">
        <w:rPr>
          <w:rFonts w:cstheme="minorHAnsi"/>
          <w:szCs w:val="24"/>
        </w:rPr>
        <w:t xml:space="preserve"> pasażerów więcej (+</w:t>
      </w:r>
      <w:r w:rsidR="001D682F">
        <w:rPr>
          <w:rFonts w:cstheme="minorHAnsi"/>
          <w:szCs w:val="24"/>
        </w:rPr>
        <w:t>67,1</w:t>
      </w:r>
      <w:r w:rsidR="002E4EA4" w:rsidRPr="00E401F0">
        <w:rPr>
          <w:rFonts w:cstheme="minorHAnsi"/>
          <w:szCs w:val="24"/>
        </w:rPr>
        <w:t xml:space="preserve">%). </w:t>
      </w:r>
    </w:p>
    <w:p w14:paraId="22B9A585" w14:textId="49E34018"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Najwięcej pasażerów przewieziono na kierunkach:</w:t>
      </w:r>
      <w:r w:rsidR="00F03748">
        <w:rPr>
          <w:rFonts w:cstheme="minorHAnsi"/>
          <w:szCs w:val="24"/>
        </w:rPr>
        <w:t xml:space="preserve"> Egipt, Turcja</w:t>
      </w:r>
      <w:r w:rsidR="003C3BF8" w:rsidRPr="00E401F0">
        <w:rPr>
          <w:rFonts w:cstheme="minorHAnsi"/>
          <w:szCs w:val="24"/>
        </w:rPr>
        <w:t xml:space="preserve"> </w:t>
      </w:r>
      <w:r w:rsidR="004B1F44" w:rsidRPr="00E401F0">
        <w:rPr>
          <w:rFonts w:cstheme="minorHAnsi"/>
          <w:szCs w:val="24"/>
        </w:rPr>
        <w:t>oraz</w:t>
      </w:r>
      <w:r w:rsidR="003C3BF8" w:rsidRPr="003C3BF8">
        <w:rPr>
          <w:rFonts w:cstheme="minorHAnsi"/>
          <w:szCs w:val="24"/>
        </w:rPr>
        <w:t xml:space="preserve"> </w:t>
      </w:r>
      <w:r w:rsidR="003C3BF8" w:rsidRPr="00E401F0">
        <w:rPr>
          <w:rFonts w:cstheme="minorHAnsi"/>
          <w:szCs w:val="24"/>
        </w:rPr>
        <w:t>Grecja</w:t>
      </w:r>
      <w:r w:rsidRPr="00E401F0">
        <w:rPr>
          <w:rFonts w:cstheme="minorHAnsi"/>
          <w:szCs w:val="24"/>
        </w:rPr>
        <w:t>.</w:t>
      </w:r>
      <w:r w:rsidR="00F03748">
        <w:rPr>
          <w:rFonts w:cstheme="minorHAnsi"/>
          <w:szCs w:val="24"/>
        </w:rPr>
        <w:t xml:space="preserve"> W dwóch pierwszych przypadkach odnotowano także największe wzrosty ilościowe (Egipt +</w:t>
      </w:r>
      <w:r w:rsidR="001D682F">
        <w:rPr>
          <w:rFonts w:cstheme="minorHAnsi"/>
          <w:szCs w:val="24"/>
        </w:rPr>
        <w:t>326,2</w:t>
      </w:r>
      <w:r w:rsidR="00F03748">
        <w:rPr>
          <w:rFonts w:cstheme="minorHAnsi"/>
          <w:szCs w:val="24"/>
        </w:rPr>
        <w:t xml:space="preserve"> tys., Turcja +</w:t>
      </w:r>
      <w:r w:rsidR="001D682F">
        <w:rPr>
          <w:rFonts w:cstheme="minorHAnsi"/>
          <w:szCs w:val="24"/>
        </w:rPr>
        <w:t>34,4</w:t>
      </w:r>
      <w:r w:rsidR="00F03748">
        <w:rPr>
          <w:rFonts w:cstheme="minorHAnsi"/>
          <w:szCs w:val="24"/>
        </w:rPr>
        <w:t xml:space="preserve"> tys</w:t>
      </w:r>
      <w:r w:rsidR="001D682F">
        <w:rPr>
          <w:rFonts w:cstheme="minorHAnsi"/>
          <w:szCs w:val="24"/>
        </w:rPr>
        <w:t>.</w:t>
      </w:r>
      <w:r w:rsidR="00F03748">
        <w:rPr>
          <w:rFonts w:cstheme="minorHAnsi"/>
          <w:szCs w:val="24"/>
        </w:rPr>
        <w:t xml:space="preserve">). </w:t>
      </w:r>
      <w:r w:rsidR="001D682F">
        <w:rPr>
          <w:rFonts w:cstheme="minorHAnsi"/>
          <w:szCs w:val="24"/>
        </w:rPr>
        <w:t xml:space="preserve">Drugi </w:t>
      </w:r>
      <w:r w:rsidR="00F03748">
        <w:rPr>
          <w:rFonts w:cstheme="minorHAnsi"/>
          <w:szCs w:val="24"/>
        </w:rPr>
        <w:t xml:space="preserve">najwyższy wzrost </w:t>
      </w:r>
      <w:r w:rsidR="001D682F">
        <w:rPr>
          <w:rFonts w:cstheme="minorHAnsi"/>
          <w:szCs w:val="24"/>
        </w:rPr>
        <w:t>przypadł</w:t>
      </w:r>
      <w:r w:rsidR="00F03748">
        <w:rPr>
          <w:rFonts w:cstheme="minorHAnsi"/>
          <w:szCs w:val="24"/>
        </w:rPr>
        <w:t xml:space="preserve"> Hiszpanii (+</w:t>
      </w:r>
      <w:r w:rsidR="001D682F">
        <w:rPr>
          <w:rFonts w:cstheme="minorHAnsi"/>
          <w:szCs w:val="24"/>
        </w:rPr>
        <w:t>118</w:t>
      </w:r>
      <w:r w:rsidR="00F03748">
        <w:rPr>
          <w:rFonts w:cstheme="minorHAnsi"/>
          <w:szCs w:val="24"/>
        </w:rPr>
        <w:t xml:space="preserve"> tys.). </w:t>
      </w:r>
      <w:r w:rsidR="001D682F">
        <w:rPr>
          <w:rFonts w:cstheme="minorHAnsi"/>
          <w:szCs w:val="24"/>
        </w:rPr>
        <w:t>Największe spadki wystąpiły natomiast w przypadku USA, Wielkiej Brytanii i Brazylii.</w:t>
      </w:r>
    </w:p>
    <w:p w14:paraId="470FAB5E" w14:textId="67D1FF2A" w:rsidR="00684AAF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Wśród portów lotniczych najwięcej pasażerów w </w:t>
      </w:r>
      <w:r w:rsidR="00ED1777">
        <w:rPr>
          <w:rFonts w:cstheme="minorHAnsi"/>
          <w:szCs w:val="24"/>
        </w:rPr>
        <w:t xml:space="preserve">międzynarodowym </w:t>
      </w:r>
      <w:r w:rsidRPr="00E401F0">
        <w:rPr>
          <w:rFonts w:cstheme="minorHAnsi"/>
          <w:szCs w:val="24"/>
        </w:rPr>
        <w:t xml:space="preserve">ruchu czarterowym </w:t>
      </w:r>
      <w:r w:rsidR="00850324">
        <w:rPr>
          <w:rFonts w:cstheme="minorHAnsi"/>
          <w:szCs w:val="24"/>
        </w:rPr>
        <w:t>w</w:t>
      </w:r>
      <w:r w:rsidRPr="00E401F0">
        <w:rPr>
          <w:rFonts w:cstheme="minorHAnsi"/>
          <w:szCs w:val="24"/>
        </w:rPr>
        <w:t xml:space="preserve"> </w:t>
      </w:r>
      <w:r w:rsidR="003C3BF8">
        <w:rPr>
          <w:rFonts w:cstheme="minorHAnsi"/>
          <w:szCs w:val="24"/>
        </w:rPr>
        <w:t xml:space="preserve">pierwszej połowie </w:t>
      </w:r>
      <w:r w:rsidRPr="00E401F0">
        <w:rPr>
          <w:rFonts w:cstheme="minorHAnsi"/>
          <w:szCs w:val="24"/>
        </w:rPr>
        <w:t>202</w:t>
      </w:r>
      <w:r w:rsidR="00F03748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obsłużyło lotnisko Katowice w Pyrzowicach (</w:t>
      </w:r>
      <w:r w:rsidR="00F03748">
        <w:rPr>
          <w:rFonts w:cstheme="minorHAnsi"/>
          <w:szCs w:val="24"/>
        </w:rPr>
        <w:t>1,4</w:t>
      </w:r>
      <w:r w:rsidR="004B1F44" w:rsidRPr="00E401F0">
        <w:rPr>
          <w:rFonts w:cstheme="minorHAnsi"/>
          <w:szCs w:val="24"/>
        </w:rPr>
        <w:t xml:space="preserve"> mln</w:t>
      </w:r>
      <w:r w:rsidRPr="00E401F0">
        <w:rPr>
          <w:rFonts w:cstheme="minorHAnsi"/>
          <w:szCs w:val="24"/>
        </w:rPr>
        <w:t xml:space="preserve">), </w:t>
      </w:r>
      <w:r w:rsidR="00795AE3">
        <w:rPr>
          <w:rFonts w:cstheme="minorHAnsi"/>
          <w:szCs w:val="24"/>
        </w:rPr>
        <w:t xml:space="preserve">a następnie </w:t>
      </w:r>
      <w:r w:rsidR="004B1F44" w:rsidRPr="00E401F0">
        <w:rPr>
          <w:rFonts w:cstheme="minorHAnsi"/>
          <w:szCs w:val="24"/>
        </w:rPr>
        <w:t>L</w:t>
      </w:r>
      <w:r w:rsidRPr="00E401F0">
        <w:rPr>
          <w:rFonts w:cstheme="minorHAnsi"/>
          <w:szCs w:val="24"/>
        </w:rPr>
        <w:t>otnisko Chopina w Warszawie (</w:t>
      </w:r>
      <w:r w:rsidR="00F03748">
        <w:rPr>
          <w:rFonts w:cstheme="minorHAnsi"/>
          <w:szCs w:val="24"/>
        </w:rPr>
        <w:t>1,1 mln</w:t>
      </w:r>
      <w:r w:rsidRPr="00E401F0">
        <w:rPr>
          <w:rFonts w:cstheme="minorHAnsi"/>
          <w:szCs w:val="24"/>
        </w:rPr>
        <w:t>)</w:t>
      </w:r>
      <w:r w:rsidR="00795AE3">
        <w:rPr>
          <w:rFonts w:cstheme="minorHAnsi"/>
          <w:szCs w:val="24"/>
        </w:rPr>
        <w:t xml:space="preserve"> i</w:t>
      </w:r>
      <w:r w:rsidR="002610D2">
        <w:rPr>
          <w:rFonts w:cstheme="minorHAnsi"/>
          <w:szCs w:val="24"/>
        </w:rPr>
        <w:t xml:space="preserve"> </w:t>
      </w:r>
      <w:r w:rsidR="004B1F44" w:rsidRPr="00E401F0">
        <w:rPr>
          <w:rFonts w:cstheme="minorHAnsi"/>
          <w:szCs w:val="24"/>
        </w:rPr>
        <w:t xml:space="preserve">Port Lotniczy </w:t>
      </w:r>
      <w:r w:rsidRPr="00E401F0">
        <w:rPr>
          <w:rFonts w:cstheme="minorHAnsi"/>
          <w:szCs w:val="24"/>
        </w:rPr>
        <w:t>Poznań-Ławica (</w:t>
      </w:r>
      <w:r w:rsidR="00F03748">
        <w:rPr>
          <w:rFonts w:cstheme="minorHAnsi"/>
          <w:szCs w:val="24"/>
        </w:rPr>
        <w:t>420,</w:t>
      </w:r>
      <w:r w:rsidR="00ED1777">
        <w:rPr>
          <w:rFonts w:cstheme="minorHAnsi"/>
          <w:szCs w:val="24"/>
        </w:rPr>
        <w:t xml:space="preserve">1 </w:t>
      </w:r>
      <w:r w:rsidRPr="00E401F0">
        <w:rPr>
          <w:rFonts w:cstheme="minorHAnsi"/>
          <w:szCs w:val="24"/>
        </w:rPr>
        <w:t xml:space="preserve">tys.). Największym wzrostem względem </w:t>
      </w:r>
      <w:r w:rsidR="00D85134">
        <w:rPr>
          <w:rFonts w:cstheme="minorHAnsi"/>
          <w:szCs w:val="24"/>
        </w:rPr>
        <w:t xml:space="preserve">pierwszego półrocza </w:t>
      </w:r>
      <w:r w:rsidRPr="00E401F0">
        <w:rPr>
          <w:rFonts w:cstheme="minorHAnsi"/>
          <w:szCs w:val="24"/>
        </w:rPr>
        <w:t>202</w:t>
      </w:r>
      <w:r w:rsidR="00684AAF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</w:t>
      </w:r>
      <w:r w:rsidR="00EF0FBC">
        <w:rPr>
          <w:rFonts w:cstheme="minorHAnsi"/>
          <w:szCs w:val="24"/>
        </w:rPr>
        <w:t>oku</w:t>
      </w:r>
      <w:r w:rsidRPr="00E401F0">
        <w:rPr>
          <w:rFonts w:cstheme="minorHAnsi"/>
          <w:szCs w:val="24"/>
        </w:rPr>
        <w:t xml:space="preserve"> </w:t>
      </w:r>
      <w:r w:rsidR="00D85134">
        <w:rPr>
          <w:rFonts w:cstheme="minorHAnsi"/>
          <w:szCs w:val="24"/>
        </w:rPr>
        <w:t>mógł</w:t>
      </w:r>
      <w:r w:rsidRPr="00E401F0">
        <w:rPr>
          <w:rFonts w:cstheme="minorHAnsi"/>
          <w:szCs w:val="24"/>
        </w:rPr>
        <w:t xml:space="preserve"> pochwalić się</w:t>
      </w:r>
      <w:r w:rsidR="00D85134">
        <w:rPr>
          <w:rFonts w:cstheme="minorHAnsi"/>
          <w:szCs w:val="24"/>
        </w:rPr>
        <w:t xml:space="preserve"> Port Lotniczy</w:t>
      </w:r>
      <w:r w:rsidRPr="00E401F0">
        <w:rPr>
          <w:rFonts w:cstheme="minorHAnsi"/>
          <w:szCs w:val="24"/>
        </w:rPr>
        <w:t xml:space="preserve"> </w:t>
      </w:r>
      <w:r w:rsidR="00D85134" w:rsidRPr="00E401F0">
        <w:rPr>
          <w:rFonts w:cstheme="minorHAnsi"/>
          <w:szCs w:val="24"/>
        </w:rPr>
        <w:t xml:space="preserve">Katowice-Pyrzowice </w:t>
      </w:r>
      <w:r w:rsidRPr="00E401F0">
        <w:rPr>
          <w:rFonts w:cstheme="minorHAnsi"/>
          <w:szCs w:val="24"/>
        </w:rPr>
        <w:t>(+</w:t>
      </w:r>
      <w:r w:rsidR="00684AAF">
        <w:rPr>
          <w:rFonts w:cstheme="minorHAnsi"/>
          <w:szCs w:val="24"/>
        </w:rPr>
        <w:t>248,</w:t>
      </w:r>
      <w:r w:rsidR="00ED1777">
        <w:rPr>
          <w:rFonts w:cstheme="minorHAnsi"/>
          <w:szCs w:val="24"/>
        </w:rPr>
        <w:t>2</w:t>
      </w:r>
      <w:r w:rsidR="00ED1777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tys.), a </w:t>
      </w:r>
      <w:r w:rsidR="00795AE3">
        <w:rPr>
          <w:rFonts w:cstheme="minorHAnsi"/>
          <w:szCs w:val="24"/>
        </w:rPr>
        <w:t>także</w:t>
      </w:r>
      <w:r w:rsidR="00795AE3" w:rsidRPr="00E401F0">
        <w:rPr>
          <w:rFonts w:cstheme="minorHAnsi"/>
          <w:szCs w:val="24"/>
        </w:rPr>
        <w:t xml:space="preserve"> </w:t>
      </w:r>
      <w:r w:rsidR="00D85134" w:rsidRPr="00E401F0">
        <w:rPr>
          <w:rFonts w:cstheme="minorHAnsi"/>
          <w:szCs w:val="24"/>
        </w:rPr>
        <w:t>Lotnisko Chopina</w:t>
      </w:r>
      <w:r w:rsidR="00684AAF">
        <w:rPr>
          <w:rFonts w:cstheme="minorHAnsi"/>
          <w:szCs w:val="24"/>
        </w:rPr>
        <w:t xml:space="preserve"> w Warszawie</w:t>
      </w:r>
      <w:r w:rsidR="00D85134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(+</w:t>
      </w:r>
      <w:r w:rsidR="00684AAF">
        <w:rPr>
          <w:rFonts w:cstheme="minorHAnsi"/>
          <w:szCs w:val="24"/>
        </w:rPr>
        <w:t>167,</w:t>
      </w:r>
      <w:r w:rsidR="00ED1777">
        <w:rPr>
          <w:rFonts w:cstheme="minorHAnsi"/>
          <w:szCs w:val="24"/>
        </w:rPr>
        <w:t>3</w:t>
      </w:r>
      <w:r w:rsidR="00ED1777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tys.) i </w:t>
      </w:r>
      <w:r w:rsidR="004B1F44" w:rsidRPr="00E401F0">
        <w:rPr>
          <w:rFonts w:cstheme="minorHAnsi"/>
          <w:szCs w:val="24"/>
        </w:rPr>
        <w:t xml:space="preserve">Port Lotniczy </w:t>
      </w:r>
      <w:r w:rsidR="00850324">
        <w:rPr>
          <w:rFonts w:cstheme="minorHAnsi"/>
          <w:szCs w:val="24"/>
        </w:rPr>
        <w:t>Wrocław-Strachowice</w:t>
      </w:r>
      <w:r w:rsidRPr="00E401F0">
        <w:rPr>
          <w:rFonts w:cstheme="minorHAnsi"/>
          <w:szCs w:val="24"/>
        </w:rPr>
        <w:t xml:space="preserve"> (+</w:t>
      </w:r>
      <w:r w:rsidR="00ED1777">
        <w:rPr>
          <w:rFonts w:cstheme="minorHAnsi"/>
          <w:szCs w:val="24"/>
        </w:rPr>
        <w:t xml:space="preserve">82,5 </w:t>
      </w:r>
      <w:r w:rsidRPr="00E401F0">
        <w:rPr>
          <w:rFonts w:cstheme="minorHAnsi"/>
          <w:szCs w:val="24"/>
        </w:rPr>
        <w:t xml:space="preserve">tys.). </w:t>
      </w:r>
      <w:r w:rsidR="00ED1777">
        <w:rPr>
          <w:rFonts w:cstheme="minorHAnsi"/>
          <w:szCs w:val="24"/>
        </w:rPr>
        <w:t>Spadki odnotowały lotniska Szczecin-Goleniów, Warszawa-Radom i Lublin.</w:t>
      </w:r>
    </w:p>
    <w:p w14:paraId="3F2E1D00" w14:textId="784EBF76"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Wśród przewoźników najwięcej pasażerów</w:t>
      </w:r>
      <w:r w:rsidR="004B1F44" w:rsidRPr="00E401F0">
        <w:rPr>
          <w:rFonts w:cstheme="minorHAnsi"/>
          <w:szCs w:val="24"/>
        </w:rPr>
        <w:t xml:space="preserve"> </w:t>
      </w:r>
      <w:r w:rsidR="00850324">
        <w:rPr>
          <w:rFonts w:cstheme="minorHAnsi"/>
          <w:szCs w:val="24"/>
        </w:rPr>
        <w:t>w czarterowym ruchu międzynarodowym</w:t>
      </w:r>
      <w:r w:rsidR="004B1F44" w:rsidRPr="00E401F0">
        <w:rPr>
          <w:rFonts w:cstheme="minorHAnsi"/>
          <w:szCs w:val="24"/>
        </w:rPr>
        <w:t xml:space="preserve"> </w:t>
      </w:r>
      <w:r w:rsidR="00057F0A" w:rsidRPr="00E401F0">
        <w:rPr>
          <w:rFonts w:cstheme="minorHAnsi"/>
          <w:szCs w:val="24"/>
        </w:rPr>
        <w:t xml:space="preserve">w </w:t>
      </w:r>
      <w:r w:rsidR="00684AAF">
        <w:rPr>
          <w:rFonts w:cstheme="minorHAnsi"/>
          <w:szCs w:val="24"/>
        </w:rPr>
        <w:t>pierwszej połowie 2025</w:t>
      </w:r>
      <w:r w:rsidR="00057F0A">
        <w:rPr>
          <w:rFonts w:cstheme="minorHAnsi"/>
          <w:szCs w:val="24"/>
        </w:rPr>
        <w:t xml:space="preserve"> roku</w:t>
      </w:r>
      <w:r w:rsidR="00057F0A" w:rsidRPr="00E401F0">
        <w:rPr>
          <w:rFonts w:cstheme="minorHAnsi"/>
          <w:szCs w:val="24"/>
        </w:rPr>
        <w:t xml:space="preserve"> </w:t>
      </w:r>
      <w:r w:rsidR="004B1F44" w:rsidRPr="00E401F0">
        <w:rPr>
          <w:rFonts w:cstheme="minorHAnsi"/>
          <w:szCs w:val="24"/>
        </w:rPr>
        <w:t>przewieźli Enter Air (</w:t>
      </w:r>
      <w:r w:rsidR="00ED1777">
        <w:rPr>
          <w:rFonts w:cstheme="minorHAnsi"/>
          <w:szCs w:val="24"/>
        </w:rPr>
        <w:t>1,1</w:t>
      </w:r>
      <w:r w:rsidR="00684AAF">
        <w:rPr>
          <w:rFonts w:cstheme="minorHAnsi"/>
          <w:szCs w:val="24"/>
        </w:rPr>
        <w:t xml:space="preserve"> mln</w:t>
      </w:r>
      <w:r w:rsidR="006A2BE0">
        <w:rPr>
          <w:rFonts w:cstheme="minorHAnsi"/>
          <w:szCs w:val="24"/>
        </w:rPr>
        <w:t xml:space="preserve"> pasażerów), </w:t>
      </w:r>
      <w:r w:rsidR="00057F0A">
        <w:rPr>
          <w:rFonts w:cstheme="minorHAnsi"/>
          <w:szCs w:val="24"/>
        </w:rPr>
        <w:t>PLL LOT</w:t>
      </w:r>
      <w:r w:rsidR="006A2BE0">
        <w:rPr>
          <w:rFonts w:cstheme="minorHAnsi"/>
          <w:szCs w:val="24"/>
        </w:rPr>
        <w:t xml:space="preserve"> (</w:t>
      </w:r>
      <w:r w:rsidR="00684AAF">
        <w:rPr>
          <w:rFonts w:cstheme="minorHAnsi"/>
          <w:szCs w:val="24"/>
        </w:rPr>
        <w:t>561,6</w:t>
      </w:r>
      <w:r w:rsidR="00057F0A">
        <w:rPr>
          <w:rFonts w:cstheme="minorHAnsi"/>
          <w:szCs w:val="24"/>
        </w:rPr>
        <w:t xml:space="preserve"> tys.</w:t>
      </w:r>
      <w:r w:rsidR="004B1F44" w:rsidRPr="00E401F0">
        <w:rPr>
          <w:rFonts w:cstheme="minorHAnsi"/>
          <w:szCs w:val="24"/>
        </w:rPr>
        <w:t xml:space="preserve">) oraz </w:t>
      </w:r>
      <w:r w:rsidR="006468D3">
        <w:rPr>
          <w:rFonts w:cstheme="minorHAnsi"/>
          <w:szCs w:val="24"/>
        </w:rPr>
        <w:t>Ryanair Sun</w:t>
      </w:r>
      <w:r w:rsidR="004B1F44" w:rsidRPr="00E401F0">
        <w:rPr>
          <w:rFonts w:cstheme="minorHAnsi"/>
          <w:szCs w:val="24"/>
        </w:rPr>
        <w:t xml:space="preserve"> (</w:t>
      </w:r>
      <w:r w:rsidR="00684AAF">
        <w:rPr>
          <w:rFonts w:cstheme="minorHAnsi"/>
          <w:szCs w:val="24"/>
        </w:rPr>
        <w:t>443,6 tys.</w:t>
      </w:r>
      <w:r w:rsidR="004B1F44" w:rsidRPr="00E401F0">
        <w:rPr>
          <w:rFonts w:cstheme="minorHAnsi"/>
          <w:szCs w:val="24"/>
        </w:rPr>
        <w:t>), natomiast</w:t>
      </w:r>
      <w:r w:rsidRPr="00E401F0">
        <w:rPr>
          <w:rFonts w:cstheme="minorHAnsi"/>
          <w:szCs w:val="24"/>
        </w:rPr>
        <w:t xml:space="preserve"> największe wzrosty względem </w:t>
      </w:r>
      <w:r w:rsidR="00057F0A">
        <w:rPr>
          <w:rFonts w:cstheme="minorHAnsi"/>
          <w:szCs w:val="24"/>
        </w:rPr>
        <w:t xml:space="preserve">pierwszego półrocza </w:t>
      </w:r>
      <w:r w:rsidRPr="00E401F0">
        <w:rPr>
          <w:rFonts w:cstheme="minorHAnsi"/>
          <w:szCs w:val="24"/>
        </w:rPr>
        <w:t>202</w:t>
      </w:r>
      <w:r w:rsidR="006468D3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odnotował</w:t>
      </w:r>
      <w:r w:rsidR="004B1F44" w:rsidRPr="00E401F0">
        <w:rPr>
          <w:rFonts w:cstheme="minorHAnsi"/>
          <w:szCs w:val="24"/>
        </w:rPr>
        <w:t>y</w:t>
      </w:r>
      <w:r w:rsidR="006468D3">
        <w:rPr>
          <w:rFonts w:cstheme="minorHAnsi"/>
          <w:szCs w:val="24"/>
        </w:rPr>
        <w:t xml:space="preserve"> SkyUp Airlines (+174,5 tys.), Electra Airways (+80,3 tys.)</w:t>
      </w:r>
      <w:r w:rsidRPr="00E401F0">
        <w:rPr>
          <w:rFonts w:cstheme="minorHAnsi"/>
          <w:szCs w:val="24"/>
        </w:rPr>
        <w:t xml:space="preserve"> </w:t>
      </w:r>
      <w:r w:rsidR="006468D3">
        <w:rPr>
          <w:rFonts w:cstheme="minorHAnsi"/>
          <w:szCs w:val="24"/>
        </w:rPr>
        <w:t>i Enter Air (+73,</w:t>
      </w:r>
      <w:r w:rsidR="00ED1777">
        <w:rPr>
          <w:rFonts w:cstheme="minorHAnsi"/>
          <w:szCs w:val="24"/>
        </w:rPr>
        <w:t xml:space="preserve">5 </w:t>
      </w:r>
      <w:r w:rsidR="006468D3">
        <w:rPr>
          <w:rFonts w:cstheme="minorHAnsi"/>
          <w:szCs w:val="24"/>
        </w:rPr>
        <w:t xml:space="preserve">tys.). </w:t>
      </w:r>
    </w:p>
    <w:p w14:paraId="671B5965" w14:textId="77777777" w:rsidR="00E77CD5" w:rsidRDefault="00E77CD5" w:rsidP="00E77CD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1F5F6B80" wp14:editId="35695616">
            <wp:extent cx="4680000" cy="2340000"/>
            <wp:effectExtent l="0" t="0" r="6350" b="3175"/>
            <wp:docPr id="66" name="Wykres 66" descr="Wykres przedstawia liczbę przewiezionych pasażerów w ruchu czarterowym w minionych kwartałach danego roku z uwzględnieniem analogicznych okresów z poprzednich 2 lat. Dane przedstawione w Tabeli 15.1 poniżej." title="Wykres 15.1 Liczba pasażerów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2A93A841" w14:textId="40FB1E2E" w:rsidR="00B3580F" w:rsidRPr="00B3580F" w:rsidRDefault="00E77CD5" w:rsidP="00DA4DCC">
      <w:pPr>
        <w:pStyle w:val="Legenda"/>
        <w:spacing w:after="360"/>
      </w:pPr>
      <w:bookmarkStart w:id="64" w:name="_Toc219462799"/>
      <w:r w:rsidRPr="00E77CD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15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="004174CC">
        <w:rPr>
          <w:noProof/>
        </w:rPr>
        <w:t>.</w:t>
      </w:r>
      <w:r w:rsidR="003E70F6">
        <w:rPr>
          <w:noProof/>
        </w:rPr>
        <w:t xml:space="preserve"> </w:t>
      </w:r>
      <w:r w:rsidR="001B72F1" w:rsidRPr="001B72F1">
        <w:rPr>
          <w:noProof/>
        </w:rPr>
        <w:t>Liczba pasażerów w przewozach czarterowych (mln) – narastająco – wykres przedstawia liczbę przewiezionych pasażerów w</w:t>
      </w:r>
      <w:r w:rsidR="00AC4167">
        <w:rPr>
          <w:noProof/>
        </w:rPr>
        <w:t xml:space="preserve"> międzynarodowym</w:t>
      </w:r>
      <w:r w:rsidR="001B72F1" w:rsidRPr="001B72F1">
        <w:rPr>
          <w:noProof/>
        </w:rPr>
        <w:t xml:space="preserve"> ruchu czarterowym w pierwszej połowie 2025 roku wraz z latami 2024</w:t>
      </w:r>
      <w:r w:rsidR="001B72F1" w:rsidRPr="001B72F1">
        <w:rPr>
          <w:i w:val="0"/>
          <w:iCs w:val="0"/>
          <w:szCs w:val="22"/>
        </w:rPr>
        <w:t xml:space="preserve"> </w:t>
      </w:r>
      <w:r w:rsidR="001B72F1" w:rsidRPr="001B72F1">
        <w:rPr>
          <w:noProof/>
        </w:rPr>
        <w:t>i 2023</w:t>
      </w:r>
      <w:bookmarkEnd w:id="64"/>
    </w:p>
    <w:tbl>
      <w:tblPr>
        <w:tblW w:w="3164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5.1 Liczba pasażerów czarterowych (mln) – narastająco"/>
        <w:tblDescription w:val="Tabela przedstawia liczbę przewiezionych pasażerów w ruchu czarterowym w minionych kwartałach danego roku z uwzględnieniem analogicznych okresów z poprzednich 2 lat. "/>
      </w:tblPr>
      <w:tblGrid>
        <w:gridCol w:w="1582"/>
        <w:gridCol w:w="1582"/>
      </w:tblGrid>
      <w:tr w:rsidR="002E4EA4" w:rsidRPr="00E401F0" w14:paraId="174ACBC8" w14:textId="77777777" w:rsidTr="00086DF6">
        <w:trPr>
          <w:trHeight w:val="317"/>
          <w:tblHeader/>
          <w:jc w:val="center"/>
        </w:trPr>
        <w:tc>
          <w:tcPr>
            <w:tcW w:w="1304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A80BA" w14:textId="77777777" w:rsidR="002E4EA4" w:rsidRPr="00E401F0" w:rsidRDefault="002E4EA4" w:rsidP="00086DF6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lastRenderedPageBreak/>
              <w:t>Rok</w:t>
            </w:r>
          </w:p>
        </w:tc>
        <w:tc>
          <w:tcPr>
            <w:tcW w:w="1304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96BD7" w14:textId="77777777" w:rsidR="002E4EA4" w:rsidRPr="00E401F0" w:rsidRDefault="002E4EA4" w:rsidP="00086DF6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E812E4" w:rsidRPr="00E401F0" w14:paraId="627B9BC1" w14:textId="77777777" w:rsidTr="00086DF6">
        <w:trPr>
          <w:trHeight w:val="317"/>
          <w:jc w:val="center"/>
        </w:trPr>
        <w:tc>
          <w:tcPr>
            <w:tcW w:w="1304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7885BC" w14:textId="77777777" w:rsidR="00E812E4" w:rsidRPr="00E812E4" w:rsidRDefault="00A133BA" w:rsidP="00086DF6">
            <w:pPr>
              <w:spacing w:after="0"/>
              <w:jc w:val="center"/>
              <w:rPr>
                <w:color w:val="283772"/>
              </w:rPr>
            </w:pPr>
            <w:r>
              <w:rPr>
                <w:color w:val="283772"/>
              </w:rPr>
              <w:t>2025</w:t>
            </w:r>
          </w:p>
        </w:tc>
        <w:tc>
          <w:tcPr>
            <w:tcW w:w="1304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AF3B1D" w14:textId="77777777" w:rsidR="00E812E4" w:rsidRPr="00AC51B4" w:rsidRDefault="00AC51B4" w:rsidP="00086DF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AC51B4">
              <w:rPr>
                <w:rFonts w:ascii="Calibri" w:hAnsi="Calibri" w:cs="Calibri"/>
                <w:color w:val="1F3864" w:themeColor="accent5" w:themeShade="80"/>
                <w:szCs w:val="24"/>
              </w:rPr>
              <w:t>3 920 365</w:t>
            </w:r>
          </w:p>
        </w:tc>
      </w:tr>
      <w:tr w:rsidR="00E812E4" w:rsidRPr="00E401F0" w14:paraId="636EE344" w14:textId="77777777" w:rsidTr="00086DF6">
        <w:trPr>
          <w:trHeight w:val="317"/>
          <w:jc w:val="center"/>
        </w:trPr>
        <w:tc>
          <w:tcPr>
            <w:tcW w:w="13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131B3F" w14:textId="77777777" w:rsidR="00E812E4" w:rsidRPr="00E812E4" w:rsidRDefault="00A133BA" w:rsidP="00086DF6">
            <w:pPr>
              <w:spacing w:after="0"/>
              <w:jc w:val="center"/>
              <w:rPr>
                <w:color w:val="283772"/>
              </w:rPr>
            </w:pPr>
            <w:r>
              <w:rPr>
                <w:color w:val="283772"/>
              </w:rPr>
              <w:t>2024</w:t>
            </w:r>
          </w:p>
        </w:tc>
        <w:tc>
          <w:tcPr>
            <w:tcW w:w="130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91B72" w14:textId="77777777" w:rsidR="00E812E4" w:rsidRPr="004174CC" w:rsidRDefault="004174CC" w:rsidP="00086DF6">
            <w:pPr>
              <w:spacing w:after="0" w:line="240" w:lineRule="auto"/>
              <w:jc w:val="center"/>
              <w:rPr>
                <w:rFonts w:ascii="Calibri" w:hAnsi="Calibri" w:cs="Calibri"/>
                <w:color w:val="1F3864" w:themeColor="accent5" w:themeShade="80"/>
                <w:szCs w:val="24"/>
              </w:rPr>
            </w:pPr>
            <w:r w:rsidRPr="004174CC">
              <w:rPr>
                <w:rFonts w:ascii="Calibri" w:hAnsi="Calibri" w:cs="Calibri"/>
                <w:color w:val="1F3864" w:themeColor="accent5" w:themeShade="80"/>
                <w:szCs w:val="24"/>
              </w:rPr>
              <w:t>3 313 016</w:t>
            </w:r>
          </w:p>
        </w:tc>
      </w:tr>
      <w:tr w:rsidR="00E812E4" w:rsidRPr="00E401F0" w14:paraId="04CF7F0A" w14:textId="77777777" w:rsidTr="00086DF6">
        <w:trPr>
          <w:trHeight w:val="317"/>
          <w:jc w:val="center"/>
        </w:trPr>
        <w:tc>
          <w:tcPr>
            <w:tcW w:w="1304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119566" w14:textId="77777777" w:rsidR="00E812E4" w:rsidRPr="00E812E4" w:rsidRDefault="00A133BA" w:rsidP="00086DF6">
            <w:pPr>
              <w:spacing w:after="0"/>
              <w:jc w:val="center"/>
              <w:rPr>
                <w:color w:val="283772"/>
              </w:rPr>
            </w:pPr>
            <w:r>
              <w:rPr>
                <w:color w:val="283772"/>
              </w:rPr>
              <w:t>2023</w:t>
            </w:r>
          </w:p>
        </w:tc>
        <w:tc>
          <w:tcPr>
            <w:tcW w:w="1304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9D40E6" w14:textId="77777777" w:rsidR="00E812E4" w:rsidRPr="004174CC" w:rsidRDefault="004174CC" w:rsidP="00086DF6">
            <w:pPr>
              <w:spacing w:after="0" w:line="240" w:lineRule="auto"/>
              <w:jc w:val="center"/>
              <w:rPr>
                <w:rFonts w:ascii="Calibri" w:hAnsi="Calibri" w:cs="Calibri"/>
                <w:color w:val="1F3864" w:themeColor="accent5" w:themeShade="80"/>
                <w:szCs w:val="24"/>
              </w:rPr>
            </w:pPr>
            <w:r w:rsidRPr="004174CC">
              <w:rPr>
                <w:rFonts w:ascii="Calibri" w:hAnsi="Calibri" w:cs="Calibri"/>
                <w:color w:val="1F3864" w:themeColor="accent5" w:themeShade="80"/>
                <w:szCs w:val="24"/>
              </w:rPr>
              <w:t>2 346 118</w:t>
            </w:r>
          </w:p>
        </w:tc>
      </w:tr>
    </w:tbl>
    <w:p w14:paraId="2749610D" w14:textId="77777777" w:rsidR="004B1F44" w:rsidRDefault="004B1F44">
      <w:pPr>
        <w:pStyle w:val="Legenda"/>
        <w:rPr>
          <w:noProof/>
        </w:rPr>
      </w:pPr>
      <w:bookmarkStart w:id="65" w:name="_Toc216787144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15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</w:t>
      </w:r>
      <w:r w:rsidR="00F5163A" w:rsidRPr="00E401F0">
        <w:rPr>
          <w:noProof/>
        </w:rPr>
        <w:t xml:space="preserve"> czarterowych</w:t>
      </w:r>
      <w:r w:rsidR="009D5AEF">
        <w:rPr>
          <w:noProof/>
        </w:rPr>
        <w:t xml:space="preserve"> </w:t>
      </w:r>
      <w:r w:rsidRPr="00E401F0">
        <w:rPr>
          <w:noProof/>
        </w:rPr>
        <w:t>– narastająco</w:t>
      </w:r>
      <w:bookmarkEnd w:id="65"/>
    </w:p>
    <w:p w14:paraId="451CEEF6" w14:textId="77777777" w:rsidR="00E77CD5" w:rsidRDefault="00E77CD5" w:rsidP="00E77CD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1CA94AE1" wp14:editId="2518597E">
            <wp:extent cx="3600000" cy="1922400"/>
            <wp:effectExtent l="0" t="0" r="635" b="1905"/>
            <wp:docPr id="67" name="Wykres 67" descr="Wykres przedstawia zmiany zachodzące w minionych kwartałach danego roku w ruchu czarterowym w porównaniu do analogicznego okresu z poprzedniego roku, a także sprzed 2 lat. Dane przedstawione w Tabeli 15.2 poniżej." title="Wykres 15.2 Dynamika ruchu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07B87C1" w14:textId="7AA18A4B" w:rsidR="00E77CD5" w:rsidRPr="00E77CD5" w:rsidRDefault="00E77CD5" w:rsidP="008A1005">
      <w:pPr>
        <w:pStyle w:val="Legenda"/>
      </w:pPr>
      <w:bookmarkStart w:id="66" w:name="_Toc219462800"/>
      <w:r w:rsidRPr="00E77CD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15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E401F0">
        <w:rPr>
          <w:noProof/>
        </w:rPr>
        <w:t>.</w:t>
      </w:r>
      <w:r w:rsidR="00B3580F">
        <w:rPr>
          <w:noProof/>
        </w:rPr>
        <w:t xml:space="preserve"> </w:t>
      </w:r>
      <w:r w:rsidR="001B72F1" w:rsidRPr="001B72F1">
        <w:rPr>
          <w:noProof/>
        </w:rPr>
        <w:t>Dynamika ruchu czarterowego – narastająco – wykres przedstawia zmiany zachodzące w pierwszej połowie 2025 roku w</w:t>
      </w:r>
      <w:r w:rsidR="001B72F1" w:rsidRPr="00D27D2C">
        <w:rPr>
          <w:noProof/>
        </w:rPr>
        <w:t xml:space="preserve"> </w:t>
      </w:r>
      <w:r w:rsidR="00AC4167" w:rsidRPr="00D27D2C">
        <w:rPr>
          <w:noProof/>
        </w:rPr>
        <w:t xml:space="preserve">międzynarodowym </w:t>
      </w:r>
      <w:r w:rsidR="001B72F1" w:rsidRPr="00D27D2C">
        <w:rPr>
          <w:noProof/>
        </w:rPr>
        <w:t xml:space="preserve">ruchu </w:t>
      </w:r>
      <w:r w:rsidR="001B72F1" w:rsidRPr="001B72F1">
        <w:rPr>
          <w:noProof/>
        </w:rPr>
        <w:t>czarterowym w porównaniu do lat 2024</w:t>
      </w:r>
      <w:r w:rsidR="001B72F1" w:rsidRPr="001B72F1">
        <w:rPr>
          <w:i w:val="0"/>
          <w:iCs w:val="0"/>
          <w:szCs w:val="22"/>
        </w:rPr>
        <w:t xml:space="preserve"> </w:t>
      </w:r>
      <w:r w:rsidR="001B72F1" w:rsidRPr="001B72F1">
        <w:rPr>
          <w:noProof/>
        </w:rPr>
        <w:t>i 2023</w:t>
      </w:r>
      <w:bookmarkEnd w:id="66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5.2 Dynamika ruchu czarterowego – narastająco"/>
        <w:tblDescription w:val="Tabela przedstawia zmiany zachodzące w minionych kwartałach danego roku w ruchu czarterowym w porównaniu do analogicznego okresu z poprzedniego roku, a także sprzed 2 lat."/>
      </w:tblPr>
      <w:tblGrid>
        <w:gridCol w:w="1680"/>
        <w:gridCol w:w="1500"/>
      </w:tblGrid>
      <w:tr w:rsidR="002E4EA4" w:rsidRPr="00E401F0" w14:paraId="59C73FE7" w14:textId="77777777" w:rsidTr="00086DF6">
        <w:trPr>
          <w:trHeight w:val="317"/>
          <w:tblHeader/>
          <w:jc w:val="center"/>
        </w:trPr>
        <w:tc>
          <w:tcPr>
            <w:tcW w:w="168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3B36E" w14:textId="77777777" w:rsidR="002E4EA4" w:rsidRPr="00E401F0" w:rsidRDefault="002E4EA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77C46" w14:textId="77777777" w:rsidR="002E4EA4" w:rsidRPr="00E401F0" w:rsidRDefault="002E4EA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9078D6" w:rsidRPr="00E401F0" w14:paraId="55CB343E" w14:textId="77777777" w:rsidTr="00086DF6">
        <w:trPr>
          <w:trHeight w:val="317"/>
          <w:jc w:val="center"/>
        </w:trPr>
        <w:tc>
          <w:tcPr>
            <w:tcW w:w="16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EB5CC8" w14:textId="77777777" w:rsidR="009078D6" w:rsidRPr="009078D6" w:rsidRDefault="008A1005" w:rsidP="009078D6">
            <w:pPr>
              <w:spacing w:after="0"/>
              <w:jc w:val="center"/>
              <w:rPr>
                <w:color w:val="283772"/>
              </w:rPr>
            </w:pPr>
            <w:r>
              <w:rPr>
                <w:color w:val="283772"/>
              </w:rPr>
              <w:t>2025 vs 2024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5332A9" w14:textId="77777777" w:rsidR="009078D6" w:rsidRPr="009078D6" w:rsidRDefault="00AC51B4" w:rsidP="009078D6">
            <w:pPr>
              <w:spacing w:after="0"/>
              <w:jc w:val="center"/>
              <w:rPr>
                <w:color w:val="283772"/>
              </w:rPr>
            </w:pPr>
            <w:r>
              <w:rPr>
                <w:color w:val="283772"/>
              </w:rPr>
              <w:t>18,3</w:t>
            </w:r>
            <w:r w:rsidR="009078D6" w:rsidRPr="009078D6">
              <w:rPr>
                <w:color w:val="283772"/>
              </w:rPr>
              <w:t>%</w:t>
            </w:r>
          </w:p>
        </w:tc>
      </w:tr>
      <w:tr w:rsidR="009078D6" w:rsidRPr="00E401F0" w14:paraId="118A813C" w14:textId="77777777" w:rsidTr="00086DF6">
        <w:trPr>
          <w:trHeight w:val="317"/>
          <w:jc w:val="center"/>
        </w:trPr>
        <w:tc>
          <w:tcPr>
            <w:tcW w:w="168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A006DC" w14:textId="77777777" w:rsidR="009078D6" w:rsidRPr="009078D6" w:rsidRDefault="008A1005" w:rsidP="009078D6">
            <w:pPr>
              <w:spacing w:after="0"/>
              <w:jc w:val="center"/>
              <w:rPr>
                <w:color w:val="283772"/>
              </w:rPr>
            </w:pPr>
            <w:r>
              <w:rPr>
                <w:color w:val="283772"/>
              </w:rPr>
              <w:t>2025 vs 2023</w:t>
            </w:r>
          </w:p>
        </w:tc>
        <w:tc>
          <w:tcPr>
            <w:tcW w:w="150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342C0B" w14:textId="77777777" w:rsidR="009078D6" w:rsidRPr="009078D6" w:rsidRDefault="00AC51B4" w:rsidP="009078D6">
            <w:pPr>
              <w:spacing w:after="0"/>
              <w:jc w:val="center"/>
              <w:rPr>
                <w:color w:val="283772"/>
              </w:rPr>
            </w:pPr>
            <w:r>
              <w:rPr>
                <w:color w:val="283772"/>
              </w:rPr>
              <w:t>67,1</w:t>
            </w:r>
            <w:r w:rsidR="008A1005">
              <w:rPr>
                <w:color w:val="283772"/>
              </w:rPr>
              <w:t>%</w:t>
            </w:r>
          </w:p>
        </w:tc>
      </w:tr>
    </w:tbl>
    <w:p w14:paraId="0655C608" w14:textId="318888A3" w:rsidR="00086DF6" w:rsidRDefault="004B1F44" w:rsidP="00086DF6">
      <w:pPr>
        <w:pStyle w:val="Legenda"/>
        <w:spacing w:after="480"/>
        <w:rPr>
          <w:i w:val="0"/>
          <w:iCs w:val="0"/>
          <w:noProof/>
        </w:rPr>
      </w:pPr>
      <w:bookmarkStart w:id="67" w:name="_Toc216787145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15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</w:t>
      </w:r>
      <w:r w:rsidR="00F5163A" w:rsidRPr="00E401F0">
        <w:rPr>
          <w:noProof/>
        </w:rPr>
        <w:t xml:space="preserve"> czarterowego</w:t>
      </w:r>
      <w:r w:rsidRPr="00E401F0">
        <w:rPr>
          <w:noProof/>
        </w:rPr>
        <w:t xml:space="preserve"> – narastająco</w:t>
      </w:r>
      <w:bookmarkEnd w:id="67"/>
      <w:r w:rsidR="00086DF6">
        <w:rPr>
          <w:noProof/>
        </w:rPr>
        <w:br w:type="page"/>
      </w:r>
    </w:p>
    <w:p w14:paraId="6F748E06" w14:textId="77777777" w:rsidR="00EF21A5" w:rsidRPr="00E401F0" w:rsidRDefault="00574DE0" w:rsidP="005A6434">
      <w:pPr>
        <w:pStyle w:val="Nagwek1"/>
      </w:pPr>
      <w:bookmarkStart w:id="68" w:name="_Toc178665057"/>
      <w:r w:rsidRPr="00E401F0">
        <w:lastRenderedPageBreak/>
        <w:t>Przewozy czarterowe - kwartał</w:t>
      </w:r>
      <w:bookmarkEnd w:id="68"/>
    </w:p>
    <w:p w14:paraId="65796561" w14:textId="7E36CC24" w:rsidR="005E107F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110BB0">
        <w:rPr>
          <w:rFonts w:cstheme="minorHAnsi"/>
          <w:szCs w:val="24"/>
        </w:rPr>
        <w:t xml:space="preserve"> 2025</w:t>
      </w:r>
      <w:r w:rsidRPr="00E401F0">
        <w:rPr>
          <w:rFonts w:cstheme="minorHAnsi"/>
          <w:szCs w:val="24"/>
        </w:rPr>
        <w:t xml:space="preserve"> roku obsłużono</w:t>
      </w:r>
      <w:r w:rsidR="00110BB0">
        <w:rPr>
          <w:rFonts w:cstheme="minorHAnsi"/>
          <w:szCs w:val="24"/>
        </w:rPr>
        <w:t xml:space="preserve"> blisko</w:t>
      </w:r>
      <w:r w:rsidRPr="00E401F0">
        <w:rPr>
          <w:rFonts w:cstheme="minorHAnsi"/>
          <w:szCs w:val="24"/>
        </w:rPr>
        <w:t xml:space="preserve"> </w:t>
      </w:r>
      <w:r w:rsidR="00110BB0">
        <w:rPr>
          <w:rFonts w:cstheme="minorHAnsi"/>
          <w:szCs w:val="24"/>
        </w:rPr>
        <w:t>2,8</w:t>
      </w:r>
      <w:r w:rsidRPr="00E401F0">
        <w:rPr>
          <w:rFonts w:cstheme="minorHAnsi"/>
          <w:szCs w:val="24"/>
        </w:rPr>
        <w:t xml:space="preserve"> mln</w:t>
      </w:r>
      <w:r w:rsidR="00ED1777">
        <w:rPr>
          <w:rFonts w:cstheme="minorHAnsi"/>
          <w:szCs w:val="24"/>
        </w:rPr>
        <w:t xml:space="preserve"> międzynarodowych</w:t>
      </w:r>
      <w:r w:rsidRPr="00E401F0">
        <w:rPr>
          <w:rFonts w:cstheme="minorHAnsi"/>
          <w:szCs w:val="24"/>
        </w:rPr>
        <w:t xml:space="preserve"> pasażerów</w:t>
      </w:r>
      <w:r w:rsidR="004B1F44" w:rsidRPr="00E401F0">
        <w:rPr>
          <w:rFonts w:cstheme="minorHAnsi"/>
          <w:szCs w:val="24"/>
        </w:rPr>
        <w:t xml:space="preserve"> czarterowych</w:t>
      </w:r>
      <w:r w:rsidR="00D87D71">
        <w:rPr>
          <w:rFonts w:cstheme="minorHAnsi"/>
          <w:szCs w:val="24"/>
        </w:rPr>
        <w:t xml:space="preserve"> – o 3</w:t>
      </w:r>
      <w:r w:rsidR="00ED1777">
        <w:rPr>
          <w:rFonts w:cstheme="minorHAnsi"/>
          <w:szCs w:val="24"/>
        </w:rPr>
        <w:t>3</w:t>
      </w:r>
      <w:r w:rsidR="00D87D71">
        <w:rPr>
          <w:rFonts w:cstheme="minorHAnsi"/>
          <w:szCs w:val="24"/>
        </w:rPr>
        <w:t>8,2</w:t>
      </w:r>
      <w:r w:rsidRPr="00E401F0">
        <w:rPr>
          <w:rFonts w:cstheme="minorHAnsi"/>
          <w:szCs w:val="24"/>
        </w:rPr>
        <w:t xml:space="preserve"> tys. więcej niż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110BB0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(+</w:t>
      </w:r>
      <w:r w:rsidR="00ED1777">
        <w:rPr>
          <w:rFonts w:cstheme="minorHAnsi"/>
          <w:szCs w:val="24"/>
        </w:rPr>
        <w:t>13,9</w:t>
      </w:r>
      <w:r w:rsidRPr="00E401F0">
        <w:rPr>
          <w:rFonts w:cstheme="minorHAnsi"/>
          <w:szCs w:val="24"/>
        </w:rPr>
        <w:t xml:space="preserve">%) i o </w:t>
      </w:r>
      <w:r w:rsidR="00D87D71">
        <w:rPr>
          <w:rFonts w:cstheme="minorHAnsi"/>
          <w:szCs w:val="24"/>
        </w:rPr>
        <w:t>934,</w:t>
      </w:r>
      <w:r w:rsidR="00ED1777">
        <w:rPr>
          <w:rFonts w:cstheme="minorHAnsi"/>
          <w:szCs w:val="24"/>
        </w:rPr>
        <w:t>4</w:t>
      </w:r>
      <w:r w:rsidR="00057F0A">
        <w:rPr>
          <w:rFonts w:cstheme="minorHAnsi"/>
          <w:szCs w:val="24"/>
        </w:rPr>
        <w:t xml:space="preserve"> </w:t>
      </w:r>
      <w:r w:rsidR="00D87D71">
        <w:rPr>
          <w:rFonts w:cstheme="minorHAnsi"/>
          <w:szCs w:val="24"/>
        </w:rPr>
        <w:t>tys.</w:t>
      </w:r>
      <w:r w:rsidRPr="00E401F0">
        <w:rPr>
          <w:rFonts w:cstheme="minorHAnsi"/>
          <w:szCs w:val="24"/>
        </w:rPr>
        <w:t xml:space="preserve"> pasażerów więcej (+</w:t>
      </w:r>
      <w:r w:rsidR="00D87D71">
        <w:rPr>
          <w:rFonts w:cstheme="minorHAnsi"/>
          <w:szCs w:val="24"/>
        </w:rPr>
        <w:t>50,7</w:t>
      </w:r>
      <w:r w:rsidR="00110BB0">
        <w:rPr>
          <w:rFonts w:cstheme="minorHAnsi"/>
          <w:szCs w:val="24"/>
        </w:rPr>
        <w:t>%) niż w tym samym okresie 2023</w:t>
      </w:r>
      <w:r w:rsidRPr="00E401F0">
        <w:rPr>
          <w:rFonts w:cstheme="minorHAnsi"/>
          <w:szCs w:val="24"/>
        </w:rPr>
        <w:t xml:space="preserve"> r</w:t>
      </w:r>
      <w:r w:rsidR="00DA0592">
        <w:rPr>
          <w:rFonts w:cstheme="minorHAnsi"/>
          <w:szCs w:val="24"/>
        </w:rPr>
        <w:t>oku</w:t>
      </w:r>
      <w:r w:rsidRPr="00E401F0">
        <w:rPr>
          <w:rFonts w:cstheme="minorHAnsi"/>
          <w:szCs w:val="24"/>
        </w:rPr>
        <w:t xml:space="preserve">. </w:t>
      </w:r>
      <w:r w:rsidR="00D87D71">
        <w:rPr>
          <w:rFonts w:cstheme="minorHAnsi"/>
          <w:szCs w:val="24"/>
        </w:rPr>
        <w:t>Najpopularniejszym kierunkiem był</w:t>
      </w:r>
      <w:r w:rsidR="00ED1777">
        <w:rPr>
          <w:rFonts w:cstheme="minorHAnsi"/>
          <w:szCs w:val="24"/>
        </w:rPr>
        <w:t>y</w:t>
      </w:r>
      <w:r w:rsidR="00D87D71">
        <w:rPr>
          <w:rFonts w:cstheme="minorHAnsi"/>
          <w:szCs w:val="24"/>
        </w:rPr>
        <w:t xml:space="preserve"> Turcja,</w:t>
      </w:r>
      <w:r w:rsidR="00D87D71" w:rsidRPr="00E401F0">
        <w:rPr>
          <w:rFonts w:cstheme="minorHAnsi"/>
          <w:szCs w:val="24"/>
        </w:rPr>
        <w:t xml:space="preserve"> </w:t>
      </w:r>
      <w:r w:rsidR="00D87D71">
        <w:rPr>
          <w:rFonts w:cstheme="minorHAnsi"/>
          <w:szCs w:val="24"/>
        </w:rPr>
        <w:t xml:space="preserve">Egipt </w:t>
      </w:r>
      <w:r w:rsidR="00110BB0">
        <w:rPr>
          <w:rFonts w:cstheme="minorHAnsi"/>
          <w:szCs w:val="24"/>
        </w:rPr>
        <w:t xml:space="preserve">i </w:t>
      </w:r>
      <w:r w:rsidR="00057F0A">
        <w:rPr>
          <w:rFonts w:cstheme="minorHAnsi"/>
          <w:szCs w:val="24"/>
        </w:rPr>
        <w:t>Gre</w:t>
      </w:r>
      <w:r w:rsidR="00D87D71">
        <w:rPr>
          <w:rFonts w:cstheme="minorHAnsi"/>
          <w:szCs w:val="24"/>
        </w:rPr>
        <w:t>cja</w:t>
      </w:r>
      <w:r w:rsidR="00110BB0">
        <w:rPr>
          <w:rFonts w:cstheme="minorHAnsi"/>
          <w:szCs w:val="24"/>
        </w:rPr>
        <w:t xml:space="preserve">. </w:t>
      </w:r>
      <w:r w:rsidR="00D87D71">
        <w:rPr>
          <w:rFonts w:cstheme="minorHAnsi"/>
          <w:szCs w:val="24"/>
        </w:rPr>
        <w:t>N</w:t>
      </w:r>
      <w:r w:rsidRPr="00E401F0">
        <w:rPr>
          <w:rFonts w:cstheme="minorHAnsi"/>
          <w:szCs w:val="24"/>
        </w:rPr>
        <w:t xml:space="preserve">ajwiększe wzrosty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="00D87D71">
        <w:rPr>
          <w:rFonts w:cstheme="minorHAnsi"/>
          <w:szCs w:val="24"/>
        </w:rPr>
        <w:t xml:space="preserve"> 2024 r</w:t>
      </w:r>
      <w:r w:rsidR="00DA0592">
        <w:rPr>
          <w:rFonts w:cstheme="minorHAnsi"/>
          <w:szCs w:val="24"/>
        </w:rPr>
        <w:t>oku</w:t>
      </w:r>
      <w:r w:rsidR="00D87D71">
        <w:rPr>
          <w:rFonts w:cstheme="minorHAnsi"/>
          <w:szCs w:val="24"/>
        </w:rPr>
        <w:t xml:space="preserve"> odnotowano w przypadku wspomnianego </w:t>
      </w:r>
      <w:r w:rsidR="00ED1777">
        <w:rPr>
          <w:rFonts w:cstheme="minorHAnsi"/>
          <w:szCs w:val="24"/>
        </w:rPr>
        <w:t xml:space="preserve">już </w:t>
      </w:r>
      <w:r w:rsidR="00D87D71">
        <w:rPr>
          <w:rFonts w:cstheme="minorHAnsi"/>
          <w:szCs w:val="24"/>
        </w:rPr>
        <w:t>Egiptu</w:t>
      </w:r>
      <w:r w:rsidR="00E6289F">
        <w:rPr>
          <w:rFonts w:cstheme="minorHAnsi"/>
          <w:szCs w:val="24"/>
        </w:rPr>
        <w:t>: +</w:t>
      </w:r>
      <w:r w:rsidR="00D87D71">
        <w:rPr>
          <w:rFonts w:cstheme="minorHAnsi"/>
          <w:szCs w:val="24"/>
        </w:rPr>
        <w:t>16</w:t>
      </w:r>
      <w:r w:rsidR="00ED1777">
        <w:rPr>
          <w:rFonts w:cstheme="minorHAnsi"/>
          <w:szCs w:val="24"/>
        </w:rPr>
        <w:t>7,5</w:t>
      </w:r>
      <w:r w:rsidR="00E6289F">
        <w:rPr>
          <w:rFonts w:cstheme="minorHAnsi"/>
          <w:szCs w:val="24"/>
        </w:rPr>
        <w:t xml:space="preserve"> tys.,</w:t>
      </w:r>
      <w:r w:rsidR="00D87D71">
        <w:rPr>
          <w:rFonts w:cstheme="minorHAnsi"/>
          <w:szCs w:val="24"/>
        </w:rPr>
        <w:t xml:space="preserve"> Hiszpanii</w:t>
      </w:r>
      <w:r w:rsidR="00ED1777">
        <w:rPr>
          <w:rFonts w:cstheme="minorHAnsi"/>
          <w:szCs w:val="24"/>
        </w:rPr>
        <w:t>:</w:t>
      </w:r>
      <w:r w:rsidR="00D87D71">
        <w:rPr>
          <w:rFonts w:cstheme="minorHAnsi"/>
          <w:szCs w:val="24"/>
        </w:rPr>
        <w:t xml:space="preserve"> </w:t>
      </w:r>
      <w:r w:rsidR="00ED1777">
        <w:rPr>
          <w:rFonts w:cstheme="minorHAnsi"/>
          <w:szCs w:val="24"/>
        </w:rPr>
        <w:t>+</w:t>
      </w:r>
      <w:r w:rsidR="00D87D71">
        <w:rPr>
          <w:rFonts w:cstheme="minorHAnsi"/>
          <w:szCs w:val="24"/>
        </w:rPr>
        <w:t>76,6 tys. oraz Turcji</w:t>
      </w:r>
      <w:r w:rsidR="00ED1777">
        <w:rPr>
          <w:rFonts w:cstheme="minorHAnsi"/>
          <w:szCs w:val="24"/>
        </w:rPr>
        <w:t>:</w:t>
      </w:r>
      <w:r w:rsidR="00D87D71">
        <w:rPr>
          <w:rFonts w:cstheme="minorHAnsi"/>
          <w:szCs w:val="24"/>
        </w:rPr>
        <w:t xml:space="preserve"> </w:t>
      </w:r>
      <w:r w:rsidR="00ED1777">
        <w:rPr>
          <w:rFonts w:cstheme="minorHAnsi"/>
          <w:szCs w:val="24"/>
        </w:rPr>
        <w:t>+</w:t>
      </w:r>
      <w:r w:rsidR="00D87D71">
        <w:rPr>
          <w:rFonts w:cstheme="minorHAnsi"/>
          <w:szCs w:val="24"/>
        </w:rPr>
        <w:t>26,6 tys.</w:t>
      </w:r>
      <w:r w:rsidR="003E70F6">
        <w:rPr>
          <w:rFonts w:cstheme="minorHAnsi"/>
          <w:szCs w:val="24"/>
        </w:rPr>
        <w:t xml:space="preserve"> </w:t>
      </w:r>
    </w:p>
    <w:p w14:paraId="7D3314F9" w14:textId="05957FB7"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Najwięcej pasażerów w </w:t>
      </w:r>
      <w:r w:rsidR="00ED1777">
        <w:rPr>
          <w:rFonts w:cstheme="minorHAnsi"/>
          <w:szCs w:val="24"/>
        </w:rPr>
        <w:t>międzynarodowym</w:t>
      </w:r>
      <w:r w:rsidR="00ED1777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ruchu czarterowym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057F0A">
        <w:rPr>
          <w:rFonts w:cstheme="minorHAnsi"/>
          <w:szCs w:val="24"/>
        </w:rPr>
        <w:t xml:space="preserve"> </w:t>
      </w:r>
      <w:r w:rsidR="00ED1777">
        <w:rPr>
          <w:rFonts w:cstheme="minorHAnsi"/>
          <w:szCs w:val="24"/>
        </w:rPr>
        <w:t xml:space="preserve">2025 </w:t>
      </w:r>
      <w:r w:rsidR="00B552B0">
        <w:rPr>
          <w:rFonts w:cstheme="minorHAnsi"/>
          <w:szCs w:val="24"/>
        </w:rPr>
        <w:t>roku obsłużyły porty lotnicze</w:t>
      </w:r>
      <w:r w:rsidRPr="00E401F0">
        <w:rPr>
          <w:rFonts w:cstheme="minorHAnsi"/>
          <w:szCs w:val="24"/>
        </w:rPr>
        <w:t xml:space="preserve"> Ka</w:t>
      </w:r>
      <w:r w:rsidR="004B1F44" w:rsidRPr="00E401F0">
        <w:rPr>
          <w:rFonts w:cstheme="minorHAnsi"/>
          <w:szCs w:val="24"/>
        </w:rPr>
        <w:t>towice-Pyrzowice (</w:t>
      </w:r>
      <w:r w:rsidR="005E107F">
        <w:rPr>
          <w:rFonts w:cstheme="minorHAnsi"/>
          <w:szCs w:val="24"/>
        </w:rPr>
        <w:t>995,4</w:t>
      </w:r>
      <w:r w:rsidR="004B1F44" w:rsidRPr="00E401F0">
        <w:rPr>
          <w:rFonts w:cstheme="minorHAnsi"/>
          <w:szCs w:val="24"/>
        </w:rPr>
        <w:t xml:space="preserve"> </w:t>
      </w:r>
      <w:r w:rsidR="00E6289F">
        <w:rPr>
          <w:rFonts w:cstheme="minorHAnsi"/>
          <w:szCs w:val="24"/>
        </w:rPr>
        <w:t>tys.</w:t>
      </w:r>
      <w:r w:rsidR="004B1F44" w:rsidRPr="00E401F0">
        <w:rPr>
          <w:rFonts w:cstheme="minorHAnsi"/>
          <w:szCs w:val="24"/>
        </w:rPr>
        <w:t>), L</w:t>
      </w:r>
      <w:r w:rsidRPr="00E401F0">
        <w:rPr>
          <w:rFonts w:cstheme="minorHAnsi"/>
          <w:szCs w:val="24"/>
        </w:rPr>
        <w:t>otnisko Chopina w Warszawie (</w:t>
      </w:r>
      <w:r w:rsidR="005E107F">
        <w:rPr>
          <w:rFonts w:cstheme="minorHAnsi"/>
          <w:szCs w:val="24"/>
        </w:rPr>
        <w:t>688,7</w:t>
      </w:r>
      <w:r w:rsidRPr="00E401F0">
        <w:rPr>
          <w:rFonts w:cstheme="minorHAnsi"/>
          <w:szCs w:val="24"/>
        </w:rPr>
        <w:t xml:space="preserve"> tys.) i Poznań-Ławica (</w:t>
      </w:r>
      <w:r w:rsidR="005E107F">
        <w:rPr>
          <w:rFonts w:cstheme="minorHAnsi"/>
          <w:szCs w:val="24"/>
        </w:rPr>
        <w:t>321,6</w:t>
      </w:r>
      <w:r w:rsidRPr="00E401F0">
        <w:rPr>
          <w:rFonts w:cstheme="minorHAnsi"/>
          <w:szCs w:val="24"/>
        </w:rPr>
        <w:t xml:space="preserve"> tys.). </w:t>
      </w:r>
      <w:r w:rsidR="00DA0592">
        <w:rPr>
          <w:rFonts w:cstheme="minorHAnsi"/>
          <w:szCs w:val="24"/>
        </w:rPr>
        <w:t>Do n</w:t>
      </w:r>
      <w:r w:rsidRPr="00E401F0">
        <w:rPr>
          <w:rFonts w:cstheme="minorHAnsi"/>
          <w:szCs w:val="24"/>
        </w:rPr>
        <w:t>ajwiększ</w:t>
      </w:r>
      <w:r w:rsidR="00DA0592">
        <w:rPr>
          <w:rFonts w:cstheme="minorHAnsi"/>
          <w:szCs w:val="24"/>
        </w:rPr>
        <w:t>ych</w:t>
      </w:r>
      <w:r w:rsidRPr="00E401F0">
        <w:rPr>
          <w:rFonts w:cstheme="minorHAnsi"/>
          <w:szCs w:val="24"/>
        </w:rPr>
        <w:t xml:space="preserve"> wzrost</w:t>
      </w:r>
      <w:r w:rsidR="00DA0592">
        <w:rPr>
          <w:rFonts w:cstheme="minorHAnsi"/>
          <w:szCs w:val="24"/>
        </w:rPr>
        <w:t>ów</w:t>
      </w:r>
      <w:r w:rsidRPr="00E401F0">
        <w:rPr>
          <w:rFonts w:cstheme="minorHAnsi"/>
          <w:szCs w:val="24"/>
        </w:rPr>
        <w:t xml:space="preserve"> względem </w:t>
      </w:r>
      <w:r w:rsidR="00AE5EBE">
        <w:rPr>
          <w:rFonts w:cstheme="minorHAnsi"/>
          <w:szCs w:val="24"/>
        </w:rPr>
        <w:t>drugiego</w:t>
      </w:r>
      <w:r w:rsidR="004B1F44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5E107F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</w:t>
      </w:r>
      <w:r w:rsidR="00EF0FBC">
        <w:rPr>
          <w:rFonts w:cstheme="minorHAnsi"/>
          <w:szCs w:val="24"/>
        </w:rPr>
        <w:t>oku</w:t>
      </w:r>
      <w:r w:rsidRPr="00E401F0">
        <w:rPr>
          <w:rFonts w:cstheme="minorHAnsi"/>
          <w:szCs w:val="24"/>
        </w:rPr>
        <w:t xml:space="preserve"> </w:t>
      </w:r>
      <w:r w:rsidR="00DA0592">
        <w:rPr>
          <w:rFonts w:cstheme="minorHAnsi"/>
          <w:szCs w:val="24"/>
        </w:rPr>
        <w:t xml:space="preserve">doszło w przypadku lotniska </w:t>
      </w:r>
      <w:r w:rsidR="000542CA" w:rsidRPr="00E401F0">
        <w:rPr>
          <w:rFonts w:cstheme="minorHAnsi"/>
          <w:szCs w:val="24"/>
        </w:rPr>
        <w:t>Katowice-Pyrzowice (+</w:t>
      </w:r>
      <w:r w:rsidR="005E107F">
        <w:rPr>
          <w:rFonts w:cstheme="minorHAnsi"/>
          <w:szCs w:val="24"/>
        </w:rPr>
        <w:t>124,6</w:t>
      </w:r>
      <w:r w:rsidR="000542CA" w:rsidRPr="00E401F0">
        <w:rPr>
          <w:rFonts w:cstheme="minorHAnsi"/>
          <w:szCs w:val="24"/>
        </w:rPr>
        <w:t xml:space="preserve"> tys.),</w:t>
      </w:r>
      <w:r w:rsidR="00DA0592">
        <w:rPr>
          <w:rFonts w:cstheme="minorHAnsi"/>
          <w:szCs w:val="24"/>
        </w:rPr>
        <w:t xml:space="preserve"> a następnie</w:t>
      </w:r>
      <w:r w:rsidR="000542CA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Lotnisk</w:t>
      </w:r>
      <w:r w:rsidR="00DA0592">
        <w:rPr>
          <w:rFonts w:cstheme="minorHAnsi"/>
          <w:szCs w:val="24"/>
        </w:rPr>
        <w:t>a</w:t>
      </w:r>
      <w:r w:rsidRPr="00E401F0">
        <w:rPr>
          <w:rFonts w:cstheme="minorHAnsi"/>
          <w:szCs w:val="24"/>
        </w:rPr>
        <w:t xml:space="preserve"> Chopina</w:t>
      </w:r>
      <w:r w:rsidR="000542CA" w:rsidRPr="00E401F0">
        <w:rPr>
          <w:rFonts w:cstheme="minorHAnsi"/>
          <w:szCs w:val="24"/>
        </w:rPr>
        <w:t xml:space="preserve"> w Warszawie</w:t>
      </w:r>
      <w:r w:rsidRPr="00E401F0">
        <w:rPr>
          <w:rFonts w:cstheme="minorHAnsi"/>
          <w:szCs w:val="24"/>
        </w:rPr>
        <w:t xml:space="preserve"> (+</w:t>
      </w:r>
      <w:r w:rsidR="005E107F">
        <w:rPr>
          <w:rFonts w:cstheme="minorHAnsi"/>
          <w:szCs w:val="24"/>
        </w:rPr>
        <w:t>102</w:t>
      </w:r>
      <w:r w:rsidR="000542CA" w:rsidRPr="00E401F0">
        <w:rPr>
          <w:rFonts w:cstheme="minorHAnsi"/>
          <w:szCs w:val="24"/>
        </w:rPr>
        <w:t xml:space="preserve"> tys.)</w:t>
      </w:r>
      <w:r w:rsidR="00EA13B7">
        <w:rPr>
          <w:rFonts w:cstheme="minorHAnsi"/>
          <w:szCs w:val="24"/>
        </w:rPr>
        <w:t xml:space="preserve"> i </w:t>
      </w:r>
      <w:r w:rsidR="00B552B0">
        <w:rPr>
          <w:rFonts w:cstheme="minorHAnsi"/>
          <w:szCs w:val="24"/>
        </w:rPr>
        <w:t>Wrocław-Strachowice</w:t>
      </w:r>
      <w:r w:rsidRPr="00E401F0">
        <w:rPr>
          <w:rFonts w:cstheme="minorHAnsi"/>
          <w:szCs w:val="24"/>
        </w:rPr>
        <w:t xml:space="preserve"> (+</w:t>
      </w:r>
      <w:r w:rsidR="005E107F">
        <w:rPr>
          <w:rFonts w:cstheme="minorHAnsi"/>
          <w:szCs w:val="24"/>
        </w:rPr>
        <w:t>54,5</w:t>
      </w:r>
      <w:r w:rsidRPr="00E401F0">
        <w:rPr>
          <w:rFonts w:cstheme="minorHAnsi"/>
          <w:szCs w:val="24"/>
        </w:rPr>
        <w:t xml:space="preserve"> tys.). </w:t>
      </w:r>
      <w:r w:rsidR="00ED1777">
        <w:rPr>
          <w:rFonts w:cstheme="minorHAnsi"/>
          <w:szCs w:val="24"/>
        </w:rPr>
        <w:t xml:space="preserve">Spadki </w:t>
      </w:r>
      <w:r w:rsidR="009316E4">
        <w:rPr>
          <w:rFonts w:cstheme="minorHAnsi"/>
          <w:szCs w:val="24"/>
        </w:rPr>
        <w:t>odnotowały natomiast porty lotnicze Szczecin-Goleniów, Warszawa-Radom, Lublin, Olsztyn-Mazury oraz Warszawa-Modlin.</w:t>
      </w:r>
    </w:p>
    <w:p w14:paraId="2BB89363" w14:textId="748E87BB"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Najwięcej pasażerów</w:t>
      </w:r>
      <w:r w:rsidR="000542CA" w:rsidRPr="00E401F0">
        <w:rPr>
          <w:rFonts w:cstheme="minorHAnsi"/>
          <w:szCs w:val="24"/>
        </w:rPr>
        <w:t xml:space="preserve"> </w:t>
      </w:r>
      <w:r w:rsidR="00E6289F">
        <w:rPr>
          <w:rFonts w:cstheme="minorHAnsi"/>
          <w:szCs w:val="24"/>
        </w:rPr>
        <w:t xml:space="preserve">w międzynarodowym ruchu czarterowym w </w:t>
      </w:r>
      <w:r w:rsidR="00AE5EBE">
        <w:rPr>
          <w:rFonts w:cstheme="minorHAnsi"/>
          <w:szCs w:val="24"/>
        </w:rPr>
        <w:t>drugim</w:t>
      </w:r>
      <w:r w:rsidR="00E6289F">
        <w:rPr>
          <w:rFonts w:cstheme="minorHAnsi"/>
          <w:szCs w:val="24"/>
        </w:rPr>
        <w:t xml:space="preserve"> kwartale 202</w:t>
      </w:r>
      <w:r w:rsidR="00463CE7">
        <w:rPr>
          <w:rFonts w:cstheme="minorHAnsi"/>
          <w:szCs w:val="24"/>
        </w:rPr>
        <w:t>5</w:t>
      </w:r>
      <w:r w:rsidR="00235DA1">
        <w:rPr>
          <w:rFonts w:cstheme="minorHAnsi"/>
          <w:szCs w:val="24"/>
        </w:rPr>
        <w:t xml:space="preserve"> roku przewieźli</w:t>
      </w:r>
      <w:r w:rsidR="00E6289F">
        <w:rPr>
          <w:rFonts w:cstheme="minorHAnsi"/>
          <w:szCs w:val="24"/>
        </w:rPr>
        <w:t xml:space="preserve"> Enter Air (</w:t>
      </w:r>
      <w:r w:rsidR="00463CE7">
        <w:rPr>
          <w:rFonts w:cstheme="minorHAnsi"/>
          <w:szCs w:val="24"/>
        </w:rPr>
        <w:t>704,8</w:t>
      </w:r>
      <w:r w:rsidR="00E6289F">
        <w:rPr>
          <w:rFonts w:cstheme="minorHAnsi"/>
          <w:szCs w:val="24"/>
        </w:rPr>
        <w:t xml:space="preserve"> tys.), </w:t>
      </w:r>
      <w:r w:rsidR="00463CE7">
        <w:rPr>
          <w:rFonts w:cstheme="minorHAnsi"/>
          <w:szCs w:val="24"/>
        </w:rPr>
        <w:t>Ryanair Sun</w:t>
      </w:r>
      <w:r w:rsidR="00E6289F">
        <w:rPr>
          <w:rFonts w:cstheme="minorHAnsi"/>
          <w:szCs w:val="24"/>
        </w:rPr>
        <w:t xml:space="preserve"> (</w:t>
      </w:r>
      <w:r w:rsidR="00463CE7">
        <w:rPr>
          <w:rFonts w:cstheme="minorHAnsi"/>
          <w:szCs w:val="24"/>
        </w:rPr>
        <w:t>443,4</w:t>
      </w:r>
      <w:r w:rsidR="00E6289F">
        <w:rPr>
          <w:rFonts w:cstheme="minorHAnsi"/>
          <w:szCs w:val="24"/>
        </w:rPr>
        <w:t xml:space="preserve"> tys.) oraz </w:t>
      </w:r>
      <w:r w:rsidR="00235DA1">
        <w:rPr>
          <w:rFonts w:cstheme="minorHAnsi"/>
          <w:szCs w:val="24"/>
        </w:rPr>
        <w:t>PLL LOT</w:t>
      </w:r>
      <w:r w:rsidR="00E6289F">
        <w:rPr>
          <w:rFonts w:cstheme="minorHAnsi"/>
          <w:szCs w:val="24"/>
        </w:rPr>
        <w:t xml:space="preserve"> (</w:t>
      </w:r>
      <w:r w:rsidR="00463CE7">
        <w:rPr>
          <w:rFonts w:cstheme="minorHAnsi"/>
          <w:szCs w:val="24"/>
        </w:rPr>
        <w:t>322,</w:t>
      </w:r>
      <w:r w:rsidR="009316E4">
        <w:rPr>
          <w:rFonts w:cstheme="minorHAnsi"/>
          <w:szCs w:val="24"/>
        </w:rPr>
        <w:t xml:space="preserve">5 </w:t>
      </w:r>
      <w:r w:rsidR="00E6289F">
        <w:rPr>
          <w:rFonts w:cstheme="minorHAnsi"/>
          <w:szCs w:val="24"/>
        </w:rPr>
        <w:t xml:space="preserve">tys.). Największe wzrosty </w:t>
      </w:r>
      <w:r w:rsidRPr="00E401F0">
        <w:rPr>
          <w:rFonts w:cstheme="minorHAnsi"/>
          <w:szCs w:val="24"/>
        </w:rPr>
        <w:t xml:space="preserve">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</w:t>
      </w:r>
      <w:r w:rsidR="00463CE7">
        <w:rPr>
          <w:rFonts w:cstheme="minorHAnsi"/>
          <w:szCs w:val="24"/>
        </w:rPr>
        <w:t>4</w:t>
      </w:r>
      <w:r w:rsidRPr="00E401F0">
        <w:rPr>
          <w:rFonts w:cstheme="minorHAnsi"/>
          <w:szCs w:val="24"/>
        </w:rPr>
        <w:t xml:space="preserve"> roku </w:t>
      </w:r>
      <w:r w:rsidR="00463CE7">
        <w:rPr>
          <w:rFonts w:cstheme="minorHAnsi"/>
          <w:szCs w:val="24"/>
        </w:rPr>
        <w:t>odnotował SkyUp Airlines (+86,</w:t>
      </w:r>
      <w:r w:rsidR="009316E4">
        <w:rPr>
          <w:rFonts w:cstheme="minorHAnsi"/>
          <w:szCs w:val="24"/>
        </w:rPr>
        <w:t xml:space="preserve">3 </w:t>
      </w:r>
      <w:r w:rsidR="00463CE7">
        <w:rPr>
          <w:rFonts w:cstheme="minorHAnsi"/>
          <w:szCs w:val="24"/>
        </w:rPr>
        <w:t>tys.), oraz</w:t>
      </w:r>
      <w:r w:rsidRPr="00E401F0">
        <w:rPr>
          <w:rFonts w:cstheme="minorHAnsi"/>
          <w:szCs w:val="24"/>
        </w:rPr>
        <w:t xml:space="preserve"> </w:t>
      </w:r>
      <w:r w:rsidR="002578D9">
        <w:rPr>
          <w:rFonts w:cstheme="minorHAnsi"/>
          <w:szCs w:val="24"/>
        </w:rPr>
        <w:t>Ryanair Sun</w:t>
      </w:r>
      <w:r w:rsidRPr="00E401F0">
        <w:rPr>
          <w:rFonts w:cstheme="minorHAnsi"/>
          <w:szCs w:val="24"/>
        </w:rPr>
        <w:t xml:space="preserve"> (+</w:t>
      </w:r>
      <w:r w:rsidR="002578D9">
        <w:rPr>
          <w:rFonts w:cstheme="minorHAnsi"/>
          <w:szCs w:val="24"/>
        </w:rPr>
        <w:t xml:space="preserve">60,3 tys.). </w:t>
      </w:r>
    </w:p>
    <w:p w14:paraId="62FB0B6A" w14:textId="77777777" w:rsidR="00E77CD5" w:rsidRDefault="00E77CD5" w:rsidP="00E77CD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139D0EEB" wp14:editId="322E05E6">
            <wp:extent cx="4680000" cy="2340000"/>
            <wp:effectExtent l="0" t="0" r="6350" b="3175"/>
            <wp:docPr id="68" name="Wykres 68" descr="Wykres przedstawia liczbę przewiezionych pasażerów w ruchu czarterowym w danym kwartale z uwzględnieniem analogicznych okresów poprzednich 2 lat. Dane przedstawione w Tabeli 16.1 poniżej." title="Wykres 16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20BC61D4" w14:textId="3CDD84C6" w:rsidR="00115E0A" w:rsidRPr="00050164" w:rsidRDefault="00E77CD5" w:rsidP="00086DF6">
      <w:pPr>
        <w:pStyle w:val="Legenda"/>
        <w:spacing w:after="240"/>
        <w:rPr>
          <w:rFonts w:cstheme="minorHAnsi"/>
          <w:szCs w:val="24"/>
        </w:rPr>
      </w:pPr>
      <w:bookmarkStart w:id="69" w:name="_Toc219462801"/>
      <w:r w:rsidRPr="00050164">
        <w:rPr>
          <w:b/>
        </w:rPr>
        <w:t xml:space="preserve">Wykres 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STYLEREF 1 \s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16</w:t>
      </w:r>
      <w:r w:rsidR="00F27BCD" w:rsidRPr="00050164">
        <w:rPr>
          <w:b/>
        </w:rPr>
        <w:fldChar w:fldCharType="end"/>
      </w:r>
      <w:r w:rsidR="00F27BCD" w:rsidRPr="00050164">
        <w:rPr>
          <w:b/>
        </w:rPr>
        <w:t>.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SEQ Wykres \* ARABIC \s 1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1</w:t>
      </w:r>
      <w:r w:rsidR="00F27BCD" w:rsidRPr="00050164">
        <w:rPr>
          <w:b/>
        </w:rPr>
        <w:fldChar w:fldCharType="end"/>
      </w:r>
      <w:r w:rsidRPr="00050164">
        <w:rPr>
          <w:noProof/>
        </w:rPr>
        <w:t>.</w:t>
      </w:r>
      <w:r w:rsidR="003E70F6" w:rsidRPr="00050164">
        <w:rPr>
          <w:noProof/>
        </w:rPr>
        <w:t xml:space="preserve"> </w:t>
      </w:r>
      <w:r w:rsidR="001B72F1" w:rsidRPr="00050164">
        <w:rPr>
          <w:noProof/>
        </w:rPr>
        <w:t xml:space="preserve">Liczba pasażerów w przewozach czarterowych (mln) – kwartał – wykres przedstawia liczbę przewiezionych pasażerów w </w:t>
      </w:r>
      <w:r w:rsidR="00AC4167" w:rsidRPr="00050164">
        <w:rPr>
          <w:noProof/>
        </w:rPr>
        <w:t xml:space="preserve">międzynarodowym </w:t>
      </w:r>
      <w:r w:rsidR="001B72F1" w:rsidRPr="00050164">
        <w:rPr>
          <w:noProof/>
        </w:rPr>
        <w:t xml:space="preserve">ruchu czarterowym w drugim kwartale 2025 roku wraz z latami </w:t>
      </w:r>
      <w:r w:rsidR="001B72F1" w:rsidRPr="00050164">
        <w:rPr>
          <w:iCs w:val="0"/>
          <w:szCs w:val="22"/>
        </w:rPr>
        <w:t>2024</w:t>
      </w:r>
      <w:r w:rsidR="001B72F1" w:rsidRPr="00050164">
        <w:rPr>
          <w:noProof/>
        </w:rPr>
        <w:t xml:space="preserve"> i 2023</w:t>
      </w:r>
      <w:bookmarkEnd w:id="69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6.1 Liczba pasażerów czarterowych (mln) – kwartał"/>
        <w:tblDescription w:val="Tabela przedstawia liczbę przewiezionych pasażerów w ruchu czarterowym w danym kwartale z uwzględnieniem analogicznych okresów poprzednich 2 lat. "/>
      </w:tblPr>
      <w:tblGrid>
        <w:gridCol w:w="1590"/>
        <w:gridCol w:w="1590"/>
      </w:tblGrid>
      <w:tr w:rsidR="00115E0A" w:rsidRPr="00E401F0" w14:paraId="59EE6437" w14:textId="77777777" w:rsidTr="00086DF6">
        <w:trPr>
          <w:trHeight w:val="317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1C23A" w14:textId="77777777" w:rsidR="00115E0A" w:rsidRPr="00E401F0" w:rsidRDefault="00115E0A" w:rsidP="00086DF6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51E76" w14:textId="77777777" w:rsidR="00115E0A" w:rsidRPr="00E401F0" w:rsidRDefault="00115E0A" w:rsidP="00086DF6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115E0A" w:rsidRPr="00E401F0" w14:paraId="4BC5F0BF" w14:textId="77777777" w:rsidTr="00086DF6">
        <w:tblPrEx>
          <w:tblCellMar>
            <w:left w:w="70" w:type="dxa"/>
            <w:right w:w="70" w:type="dxa"/>
          </w:tblCellMar>
        </w:tblPrEx>
        <w:trPr>
          <w:trHeight w:val="317"/>
          <w:jc w:val="center"/>
        </w:trPr>
        <w:tc>
          <w:tcPr>
            <w:tcW w:w="1590" w:type="dxa"/>
            <w:shd w:val="clear" w:color="auto" w:fill="E0E4F4"/>
            <w:hideMark/>
          </w:tcPr>
          <w:p w14:paraId="29877988" w14:textId="77777777" w:rsidR="00115E0A" w:rsidRPr="009078D6" w:rsidRDefault="00115E0A" w:rsidP="00086DF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590" w:type="dxa"/>
            <w:shd w:val="clear" w:color="auto" w:fill="E0E4F4"/>
          </w:tcPr>
          <w:p w14:paraId="4D4E314B" w14:textId="77777777" w:rsidR="00115E0A" w:rsidRPr="00086DF6" w:rsidRDefault="00115E0A" w:rsidP="00086DF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086DF6">
              <w:rPr>
                <w:rFonts w:cstheme="minorHAnsi"/>
                <w:color w:val="283772"/>
                <w:szCs w:val="24"/>
              </w:rPr>
              <w:t>2 778 708</w:t>
            </w:r>
          </w:p>
        </w:tc>
      </w:tr>
      <w:tr w:rsidR="00115E0A" w:rsidRPr="00E401F0" w14:paraId="1EBED24D" w14:textId="77777777" w:rsidTr="00086DF6">
        <w:tblPrEx>
          <w:tblCellMar>
            <w:left w:w="70" w:type="dxa"/>
            <w:right w:w="70" w:type="dxa"/>
          </w:tblCellMar>
        </w:tblPrEx>
        <w:trPr>
          <w:trHeight w:val="317"/>
          <w:jc w:val="center"/>
        </w:trPr>
        <w:tc>
          <w:tcPr>
            <w:tcW w:w="1590" w:type="dxa"/>
            <w:shd w:val="clear" w:color="auto" w:fill="auto"/>
            <w:hideMark/>
          </w:tcPr>
          <w:p w14:paraId="03B1BBD0" w14:textId="77777777" w:rsidR="00115E0A" w:rsidRPr="009078D6" w:rsidRDefault="00115E0A" w:rsidP="00086DF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shd w:val="clear" w:color="auto" w:fill="auto"/>
          </w:tcPr>
          <w:p w14:paraId="547EC7AB" w14:textId="77777777" w:rsidR="00115E0A" w:rsidRPr="00086DF6" w:rsidRDefault="00115E0A" w:rsidP="00086DF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086DF6">
              <w:rPr>
                <w:rFonts w:cstheme="minorHAnsi"/>
                <w:color w:val="283772"/>
                <w:szCs w:val="24"/>
              </w:rPr>
              <w:t>2 440 463</w:t>
            </w:r>
          </w:p>
        </w:tc>
      </w:tr>
      <w:tr w:rsidR="00115E0A" w:rsidRPr="00E401F0" w14:paraId="23990880" w14:textId="77777777" w:rsidTr="00086DF6">
        <w:tblPrEx>
          <w:tblCellMar>
            <w:left w:w="70" w:type="dxa"/>
            <w:right w:w="70" w:type="dxa"/>
          </w:tblCellMar>
        </w:tblPrEx>
        <w:trPr>
          <w:trHeight w:val="317"/>
          <w:jc w:val="center"/>
        </w:trPr>
        <w:tc>
          <w:tcPr>
            <w:tcW w:w="1590" w:type="dxa"/>
            <w:shd w:val="clear" w:color="auto" w:fill="E0E4F4"/>
            <w:hideMark/>
          </w:tcPr>
          <w:p w14:paraId="19968C06" w14:textId="77777777" w:rsidR="00115E0A" w:rsidRPr="009078D6" w:rsidRDefault="00115E0A" w:rsidP="00086DF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shd w:val="clear" w:color="auto" w:fill="E0E4F4"/>
          </w:tcPr>
          <w:p w14:paraId="3F867090" w14:textId="77777777" w:rsidR="00115E0A" w:rsidRPr="00086DF6" w:rsidRDefault="00115E0A" w:rsidP="00086DF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086DF6">
              <w:rPr>
                <w:rFonts w:cstheme="minorHAnsi"/>
                <w:color w:val="283772"/>
                <w:szCs w:val="24"/>
              </w:rPr>
              <w:t>1 844 313</w:t>
            </w:r>
          </w:p>
        </w:tc>
      </w:tr>
    </w:tbl>
    <w:p w14:paraId="4B07878A" w14:textId="77777777" w:rsidR="006F5049" w:rsidRDefault="006F5049">
      <w:pPr>
        <w:pStyle w:val="Legenda"/>
        <w:rPr>
          <w:noProof/>
        </w:rPr>
      </w:pPr>
      <w:bookmarkStart w:id="70" w:name="_Toc216787146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16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</w:t>
      </w:r>
      <w:r w:rsidR="00F5163A" w:rsidRPr="00E401F0">
        <w:rPr>
          <w:noProof/>
        </w:rPr>
        <w:t xml:space="preserve"> czarterowych</w:t>
      </w:r>
      <w:r w:rsidR="009D5AEF">
        <w:rPr>
          <w:noProof/>
        </w:rPr>
        <w:t xml:space="preserve"> </w:t>
      </w:r>
      <w:r w:rsidRPr="00E401F0">
        <w:rPr>
          <w:noProof/>
        </w:rPr>
        <w:t>– kwartał</w:t>
      </w:r>
      <w:bookmarkEnd w:id="70"/>
    </w:p>
    <w:p w14:paraId="7AE79837" w14:textId="77777777" w:rsidR="00E77CD5" w:rsidRDefault="00E77CD5" w:rsidP="00E77CD5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677B0E06" wp14:editId="2AA51B34">
            <wp:extent cx="3600000" cy="1922400"/>
            <wp:effectExtent l="0" t="0" r="635" b="1905"/>
            <wp:docPr id="69" name="Wykres 69" descr="Wykres przedstawia zmiany zachodzące w danym kwartale w ruchu czarterowym w porównaniu z analogicznym okresem roku poprzedniego, a także sprzed 2 lat. Dane przedstawione w Tabeli 16.2 poniżej." title="Wykres 16.2 Dynamika ruchu – kwartał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5D9E90A8" w14:textId="5B9262ED" w:rsidR="00CE5C34" w:rsidRPr="00050164" w:rsidRDefault="00E77CD5" w:rsidP="00086DF6">
      <w:pPr>
        <w:pStyle w:val="Legenda"/>
        <w:rPr>
          <w:noProof/>
        </w:rPr>
      </w:pPr>
      <w:bookmarkStart w:id="71" w:name="_Toc219462802"/>
      <w:r w:rsidRPr="00050164">
        <w:rPr>
          <w:b/>
        </w:rPr>
        <w:t xml:space="preserve">Wykres 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STYLEREF 1 \s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16</w:t>
      </w:r>
      <w:r w:rsidR="00F27BCD" w:rsidRPr="00050164">
        <w:rPr>
          <w:b/>
        </w:rPr>
        <w:fldChar w:fldCharType="end"/>
      </w:r>
      <w:r w:rsidR="00F27BCD" w:rsidRPr="00050164">
        <w:rPr>
          <w:b/>
        </w:rPr>
        <w:t>.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SEQ Wykres \* ARABIC \s 1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2</w:t>
      </w:r>
      <w:r w:rsidR="00F27BCD" w:rsidRPr="00050164">
        <w:rPr>
          <w:b/>
        </w:rPr>
        <w:fldChar w:fldCharType="end"/>
      </w:r>
      <w:r w:rsidRPr="00050164">
        <w:rPr>
          <w:noProof/>
        </w:rPr>
        <w:t>.</w:t>
      </w:r>
      <w:r w:rsidR="00CE5C34" w:rsidRPr="00050164">
        <w:rPr>
          <w:noProof/>
        </w:rPr>
        <w:t xml:space="preserve"> </w:t>
      </w:r>
      <w:r w:rsidR="001B72F1" w:rsidRPr="00050164">
        <w:rPr>
          <w:noProof/>
        </w:rPr>
        <w:t xml:space="preserve">Dynamika ruchu czarterowego – kwartał – wykres przedstawia zmiany zachodzące w drugim kwartale 2025 roku w </w:t>
      </w:r>
      <w:r w:rsidR="00AC4167" w:rsidRPr="00050164">
        <w:rPr>
          <w:noProof/>
        </w:rPr>
        <w:t xml:space="preserve">międzynarodowym </w:t>
      </w:r>
      <w:r w:rsidR="001B72F1" w:rsidRPr="00050164">
        <w:rPr>
          <w:noProof/>
        </w:rPr>
        <w:t xml:space="preserve">ruchu czarterowym w porównaniu do lat 2024 </w:t>
      </w:r>
      <w:r w:rsidR="001B72F1" w:rsidRPr="00050164">
        <w:rPr>
          <w:iCs w:val="0"/>
          <w:szCs w:val="22"/>
        </w:rPr>
        <w:t>i</w:t>
      </w:r>
      <w:r w:rsidR="001B72F1" w:rsidRPr="00050164">
        <w:rPr>
          <w:noProof/>
        </w:rPr>
        <w:t xml:space="preserve"> 2023</w:t>
      </w:r>
      <w:bookmarkEnd w:id="71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6.2 Dynamika ruchu czarterowego – kwartał"/>
        <w:tblDescription w:val="Tabela przedstawia zmiany zachodzące w danym kwartale w ruchu czarterowym w porównaniu z analogicznym okresem roku poprzedniego, a także sprzed 2 lat. "/>
      </w:tblPr>
      <w:tblGrid>
        <w:gridCol w:w="1680"/>
        <w:gridCol w:w="1500"/>
      </w:tblGrid>
      <w:tr w:rsidR="002E4EA4" w:rsidRPr="00E401F0" w14:paraId="1F711128" w14:textId="77777777" w:rsidTr="00086DF6">
        <w:trPr>
          <w:trHeight w:val="317"/>
          <w:tblHeader/>
          <w:jc w:val="center"/>
        </w:trPr>
        <w:tc>
          <w:tcPr>
            <w:tcW w:w="168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05EF7" w14:textId="77777777" w:rsidR="002E4EA4" w:rsidRPr="00E401F0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7ECB8" w14:textId="77777777" w:rsidR="002E4EA4" w:rsidRPr="00E401F0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9078D6" w:rsidRPr="00E401F0" w14:paraId="0BCE5F5A" w14:textId="77777777" w:rsidTr="00086DF6">
        <w:trPr>
          <w:trHeight w:val="317"/>
          <w:jc w:val="center"/>
        </w:trPr>
        <w:tc>
          <w:tcPr>
            <w:tcW w:w="16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BFBDB" w14:textId="77777777" w:rsidR="009078D6" w:rsidRPr="009078D6" w:rsidRDefault="00CE5C34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 vs 2024</w:t>
            </w:r>
          </w:p>
        </w:tc>
        <w:tc>
          <w:tcPr>
            <w:tcW w:w="15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E9CF9C" w14:textId="77777777" w:rsidR="009078D6" w:rsidRPr="009078D6" w:rsidRDefault="00AC51B4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13,9</w:t>
            </w:r>
            <w:r w:rsidR="009078D6" w:rsidRPr="009078D6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9078D6" w:rsidRPr="00E401F0" w14:paraId="4E6580D6" w14:textId="77777777" w:rsidTr="00086DF6">
        <w:trPr>
          <w:trHeight w:val="317"/>
          <w:jc w:val="center"/>
        </w:trPr>
        <w:tc>
          <w:tcPr>
            <w:tcW w:w="168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2CC4B5" w14:textId="77777777" w:rsidR="009078D6" w:rsidRPr="009078D6" w:rsidRDefault="00CE5C34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 vs 2023</w:t>
            </w:r>
          </w:p>
        </w:tc>
        <w:tc>
          <w:tcPr>
            <w:tcW w:w="150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831265" w14:textId="77777777" w:rsidR="009078D6" w:rsidRPr="009078D6" w:rsidRDefault="00AC51B4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50,7</w:t>
            </w:r>
            <w:r w:rsidR="009078D6" w:rsidRPr="009078D6">
              <w:rPr>
                <w:rFonts w:cstheme="minorHAnsi"/>
                <w:color w:val="283772"/>
                <w:szCs w:val="24"/>
              </w:rPr>
              <w:t>%</w:t>
            </w:r>
          </w:p>
        </w:tc>
      </w:tr>
    </w:tbl>
    <w:p w14:paraId="270C6AE9" w14:textId="77777777" w:rsidR="006F5049" w:rsidRPr="00E401F0" w:rsidRDefault="006F5049">
      <w:pPr>
        <w:pStyle w:val="Legenda"/>
      </w:pPr>
      <w:bookmarkStart w:id="72" w:name="_Toc216787147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16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</w:t>
      </w:r>
      <w:r w:rsidR="00F5163A" w:rsidRPr="00E401F0">
        <w:rPr>
          <w:noProof/>
        </w:rPr>
        <w:t xml:space="preserve"> czarterowego</w:t>
      </w:r>
      <w:r w:rsidRPr="00E401F0">
        <w:rPr>
          <w:noProof/>
        </w:rPr>
        <w:t xml:space="preserve"> – kwartał</w:t>
      </w:r>
      <w:bookmarkEnd w:id="72"/>
    </w:p>
    <w:p w14:paraId="226E25F8" w14:textId="77777777" w:rsidR="002E4EA4" w:rsidRPr="00E401F0" w:rsidRDefault="00574DE0" w:rsidP="005A6434">
      <w:pPr>
        <w:pStyle w:val="Nagwek1"/>
      </w:pPr>
      <w:bookmarkStart w:id="73" w:name="_Toc178665058"/>
      <w:r w:rsidRPr="00E401F0">
        <w:t>Porównanie z danymi IATA – RPKM</w:t>
      </w:r>
      <w:bookmarkEnd w:id="73"/>
    </w:p>
    <w:p w14:paraId="4D706809" w14:textId="469657F7" w:rsidR="007C412A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777E75">
        <w:rPr>
          <w:rFonts w:cstheme="minorHAnsi"/>
          <w:szCs w:val="24"/>
        </w:rPr>
        <w:t xml:space="preserve">pierwszej połowie </w:t>
      </w:r>
      <w:r w:rsidR="002E4EA4" w:rsidRPr="00E401F0">
        <w:rPr>
          <w:rFonts w:cstheme="minorHAnsi"/>
          <w:szCs w:val="24"/>
        </w:rPr>
        <w:t>202</w:t>
      </w:r>
      <w:r w:rsidR="0078101D">
        <w:rPr>
          <w:rFonts w:cstheme="minorHAnsi"/>
          <w:szCs w:val="24"/>
        </w:rPr>
        <w:t>5</w:t>
      </w:r>
      <w:r w:rsidR="002E4EA4" w:rsidRPr="00E401F0">
        <w:rPr>
          <w:rFonts w:cstheme="minorHAnsi"/>
          <w:szCs w:val="24"/>
        </w:rPr>
        <w:t xml:space="preserve"> roku polski rynek odnotował dynamikę RPKM na wyższym poziomie niż wzrost liczby pasażerów w porównaniu z </w:t>
      </w:r>
      <w:r w:rsidR="00DB7749">
        <w:rPr>
          <w:rFonts w:cstheme="minorHAnsi"/>
          <w:szCs w:val="24"/>
        </w:rPr>
        <w:t xml:space="preserve">analogicznym okresem </w:t>
      </w:r>
      <w:r w:rsidR="002E4EA4" w:rsidRPr="00E401F0">
        <w:rPr>
          <w:rFonts w:cstheme="minorHAnsi"/>
          <w:szCs w:val="24"/>
        </w:rPr>
        <w:t>202</w:t>
      </w:r>
      <w:r w:rsidR="00A7215B">
        <w:rPr>
          <w:rFonts w:cstheme="minorHAnsi"/>
          <w:szCs w:val="24"/>
        </w:rPr>
        <w:t>4</w:t>
      </w:r>
      <w:r w:rsidR="00B530FA">
        <w:rPr>
          <w:rFonts w:cstheme="minorHAnsi"/>
          <w:szCs w:val="24"/>
        </w:rPr>
        <w:t xml:space="preserve"> rok</w:t>
      </w:r>
      <w:r w:rsidR="00DB7749">
        <w:rPr>
          <w:rFonts w:cstheme="minorHAnsi"/>
          <w:szCs w:val="24"/>
        </w:rPr>
        <w:t>u</w:t>
      </w:r>
      <w:r w:rsidR="00EA13B7">
        <w:rPr>
          <w:rFonts w:cstheme="minorHAnsi"/>
          <w:szCs w:val="24"/>
        </w:rPr>
        <w:t xml:space="preserve"> (o </w:t>
      </w:r>
      <w:r w:rsidR="00A7215B">
        <w:rPr>
          <w:rFonts w:cstheme="minorHAnsi"/>
          <w:szCs w:val="24"/>
        </w:rPr>
        <w:t xml:space="preserve">2,6 </w:t>
      </w:r>
      <w:r w:rsidR="007919CB">
        <w:rPr>
          <w:rFonts w:cstheme="minorHAnsi"/>
          <w:szCs w:val="24"/>
        </w:rPr>
        <w:t>punktu procentowego</w:t>
      </w:r>
      <w:r w:rsidR="00E85922" w:rsidRPr="00E401F0">
        <w:rPr>
          <w:rFonts w:cstheme="minorHAnsi"/>
          <w:szCs w:val="24"/>
        </w:rPr>
        <w:t>)</w:t>
      </w:r>
      <w:r w:rsidR="002E4EA4" w:rsidRPr="00E401F0">
        <w:rPr>
          <w:rFonts w:cstheme="minorHAnsi"/>
          <w:szCs w:val="24"/>
        </w:rPr>
        <w:t xml:space="preserve">. </w:t>
      </w:r>
      <w:r w:rsidR="00A7215B">
        <w:rPr>
          <w:rFonts w:cstheme="minorHAnsi"/>
          <w:szCs w:val="24"/>
        </w:rPr>
        <w:t xml:space="preserve">Była one także </w:t>
      </w:r>
      <w:r w:rsidR="002E4EA4" w:rsidRPr="00E401F0">
        <w:rPr>
          <w:rFonts w:cstheme="minorHAnsi"/>
          <w:szCs w:val="24"/>
        </w:rPr>
        <w:t xml:space="preserve">wyższa niż procentowe wyniki Europy o </w:t>
      </w:r>
      <w:r w:rsidR="00A7215B">
        <w:rPr>
          <w:rFonts w:cstheme="minorHAnsi"/>
          <w:szCs w:val="24"/>
        </w:rPr>
        <w:t>9,9</w:t>
      </w:r>
      <w:r w:rsidR="00D00683" w:rsidRPr="00E401F0">
        <w:rPr>
          <w:rFonts w:cstheme="minorHAnsi"/>
          <w:szCs w:val="24"/>
        </w:rPr>
        <w:t xml:space="preserve"> </w:t>
      </w:r>
      <w:r w:rsidR="007919CB">
        <w:rPr>
          <w:rFonts w:cstheme="minorHAnsi"/>
          <w:szCs w:val="24"/>
        </w:rPr>
        <w:t>punktu procentowego</w:t>
      </w:r>
      <w:r w:rsidR="00EA13B7">
        <w:rPr>
          <w:rFonts w:cstheme="minorHAnsi"/>
          <w:szCs w:val="24"/>
        </w:rPr>
        <w:t xml:space="preserve"> i o </w:t>
      </w:r>
      <w:r w:rsidR="00A7215B">
        <w:rPr>
          <w:rFonts w:cstheme="minorHAnsi"/>
          <w:szCs w:val="24"/>
        </w:rPr>
        <w:t>9,3</w:t>
      </w:r>
      <w:r w:rsidR="002E4EA4" w:rsidRPr="00E401F0">
        <w:rPr>
          <w:rFonts w:cstheme="minorHAnsi"/>
          <w:szCs w:val="24"/>
        </w:rPr>
        <w:t xml:space="preserve"> </w:t>
      </w:r>
      <w:r w:rsidR="007919CB">
        <w:rPr>
          <w:rFonts w:cstheme="minorHAnsi"/>
          <w:szCs w:val="24"/>
        </w:rPr>
        <w:t xml:space="preserve">punktu procentowego </w:t>
      </w:r>
      <w:r w:rsidR="002E4EA4" w:rsidRPr="00E401F0">
        <w:rPr>
          <w:rFonts w:cstheme="minorHAnsi"/>
          <w:szCs w:val="24"/>
        </w:rPr>
        <w:t>od wyników globalnych</w:t>
      </w:r>
      <w:r w:rsidR="00A85D41" w:rsidRPr="00E401F0">
        <w:rPr>
          <w:rFonts w:cstheme="minorHAnsi"/>
          <w:szCs w:val="24"/>
        </w:rPr>
        <w:t xml:space="preserve"> (wg. IATA)</w:t>
      </w:r>
      <w:r w:rsidR="00A85D41" w:rsidRPr="00E401F0">
        <w:rPr>
          <w:rStyle w:val="Odwoanieprzypisudolnego"/>
          <w:rFonts w:cstheme="minorHAnsi"/>
          <w:szCs w:val="24"/>
        </w:rPr>
        <w:footnoteReference w:id="7"/>
      </w:r>
      <w:r w:rsidR="002E4EA4" w:rsidRPr="00E401F0">
        <w:rPr>
          <w:rFonts w:cstheme="minorHAnsi"/>
          <w:szCs w:val="24"/>
        </w:rPr>
        <w:t xml:space="preserve"> i wyniosła +</w:t>
      </w:r>
      <w:r w:rsidR="00A7215B">
        <w:rPr>
          <w:rFonts w:cstheme="minorHAnsi"/>
          <w:szCs w:val="24"/>
        </w:rPr>
        <w:t>14,4</w:t>
      </w:r>
      <w:r w:rsidR="002E4EA4" w:rsidRPr="00E401F0">
        <w:rPr>
          <w:rFonts w:cstheme="minorHAnsi"/>
          <w:szCs w:val="24"/>
        </w:rPr>
        <w:t xml:space="preserve">%. </w:t>
      </w:r>
      <w:r w:rsidR="00A7215B" w:rsidRPr="00E401F0">
        <w:rPr>
          <w:rFonts w:cstheme="minorHAnsi"/>
          <w:szCs w:val="24"/>
        </w:rPr>
        <w:t xml:space="preserve">Średnia długość odcinka lotu wzrosła </w:t>
      </w:r>
      <w:r w:rsidR="00A7215B">
        <w:rPr>
          <w:rFonts w:cstheme="minorHAnsi"/>
          <w:szCs w:val="24"/>
        </w:rPr>
        <w:t xml:space="preserve">w tym czasie </w:t>
      </w:r>
      <w:r w:rsidR="00A7215B" w:rsidRPr="00E401F0">
        <w:rPr>
          <w:rFonts w:cstheme="minorHAnsi"/>
          <w:szCs w:val="24"/>
        </w:rPr>
        <w:t xml:space="preserve">o </w:t>
      </w:r>
      <w:r w:rsidR="00A7215B">
        <w:rPr>
          <w:rFonts w:cstheme="minorHAnsi"/>
          <w:szCs w:val="24"/>
        </w:rPr>
        <w:t>46</w:t>
      </w:r>
      <w:r w:rsidR="00A7215B" w:rsidRPr="00E401F0">
        <w:rPr>
          <w:rFonts w:cstheme="minorHAnsi"/>
          <w:szCs w:val="24"/>
        </w:rPr>
        <w:t xml:space="preserve"> km.</w:t>
      </w:r>
      <w:r w:rsidR="003E70F6">
        <w:rPr>
          <w:rFonts w:cstheme="minorHAnsi"/>
          <w:szCs w:val="24"/>
        </w:rPr>
        <w:t xml:space="preserve"> </w:t>
      </w:r>
      <w:r w:rsidR="007C412A">
        <w:rPr>
          <w:rFonts w:cstheme="minorHAnsi"/>
          <w:szCs w:val="24"/>
        </w:rPr>
        <w:t xml:space="preserve">Warto także dodać, że </w:t>
      </w:r>
      <w:r w:rsidR="002E4EA4" w:rsidRPr="00E401F0">
        <w:rPr>
          <w:rFonts w:cstheme="minorHAnsi"/>
          <w:szCs w:val="24"/>
        </w:rPr>
        <w:t>dynamika RPKM, w stosunku do analogicznego okresu roku 202</w:t>
      </w:r>
      <w:r w:rsidR="00A7215B">
        <w:rPr>
          <w:rFonts w:cstheme="minorHAnsi"/>
          <w:szCs w:val="24"/>
        </w:rPr>
        <w:t>4</w:t>
      </w:r>
      <w:r w:rsidR="002E4EA4" w:rsidRPr="00E401F0">
        <w:rPr>
          <w:rFonts w:cstheme="minorHAnsi"/>
          <w:szCs w:val="24"/>
        </w:rPr>
        <w:t xml:space="preserve">, była na </w:t>
      </w:r>
      <w:r w:rsidR="00A7215B">
        <w:rPr>
          <w:rFonts w:cstheme="minorHAnsi"/>
          <w:szCs w:val="24"/>
        </w:rPr>
        <w:t xml:space="preserve">tym samym </w:t>
      </w:r>
      <w:r w:rsidR="002E4EA4" w:rsidRPr="00E401F0">
        <w:rPr>
          <w:rFonts w:cstheme="minorHAnsi"/>
          <w:szCs w:val="24"/>
        </w:rPr>
        <w:t xml:space="preserve">poziomie </w:t>
      </w:r>
      <w:r w:rsidR="00A7215B">
        <w:rPr>
          <w:rFonts w:cstheme="minorHAnsi"/>
          <w:szCs w:val="24"/>
        </w:rPr>
        <w:t>co</w:t>
      </w:r>
      <w:r w:rsidR="002E4EA4" w:rsidRPr="00E401F0">
        <w:rPr>
          <w:rFonts w:cstheme="minorHAnsi"/>
          <w:szCs w:val="24"/>
        </w:rPr>
        <w:t xml:space="preserve"> dynamika wzrostu oferowa</w:t>
      </w:r>
      <w:r w:rsidR="00A7215B">
        <w:rPr>
          <w:rFonts w:cstheme="minorHAnsi"/>
          <w:szCs w:val="24"/>
        </w:rPr>
        <w:t>nia mierzona wskaźnikiem ASKM</w:t>
      </w:r>
      <w:r w:rsidR="00DB7749">
        <w:rPr>
          <w:rFonts w:cstheme="minorHAnsi"/>
          <w:szCs w:val="24"/>
        </w:rPr>
        <w:t>.</w:t>
      </w:r>
    </w:p>
    <w:p w14:paraId="5797EBAF" w14:textId="53515444" w:rsidR="002E4EA4" w:rsidRDefault="007C412A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W drugim kwartale</w:t>
      </w:r>
      <w:r w:rsidR="009162B4">
        <w:rPr>
          <w:rFonts w:cstheme="minorHAnsi"/>
          <w:szCs w:val="24"/>
        </w:rPr>
        <w:t xml:space="preserve"> 2025 roku</w:t>
      </w:r>
      <w:r>
        <w:rPr>
          <w:rFonts w:cstheme="minorHAnsi"/>
          <w:szCs w:val="24"/>
        </w:rPr>
        <w:t xml:space="preserve"> RPKM wzrósł o </w:t>
      </w:r>
      <w:r w:rsidR="00D405BA">
        <w:rPr>
          <w:rFonts w:cstheme="minorHAnsi"/>
          <w:szCs w:val="24"/>
        </w:rPr>
        <w:t>13,1%</w:t>
      </w:r>
      <w:r w:rsidR="0084701F">
        <w:rPr>
          <w:rFonts w:cstheme="minorHAnsi"/>
          <w:szCs w:val="24"/>
        </w:rPr>
        <w:t xml:space="preserve"> w stosunku do analogicznego okresu 2024 r</w:t>
      </w:r>
      <w:r w:rsidR="00EF0FBC">
        <w:rPr>
          <w:rFonts w:cstheme="minorHAnsi"/>
          <w:szCs w:val="24"/>
        </w:rPr>
        <w:t>oku</w:t>
      </w:r>
      <w:r w:rsidR="00D405BA">
        <w:rPr>
          <w:rFonts w:cstheme="minorHAnsi"/>
          <w:szCs w:val="24"/>
        </w:rPr>
        <w:t xml:space="preserve">. </w:t>
      </w:r>
      <w:r w:rsidR="0084701F">
        <w:rPr>
          <w:rFonts w:cstheme="minorHAnsi"/>
          <w:szCs w:val="24"/>
        </w:rPr>
        <w:t>Jego d</w:t>
      </w:r>
      <w:r w:rsidR="00D405BA">
        <w:rPr>
          <w:rFonts w:cstheme="minorHAnsi"/>
          <w:szCs w:val="24"/>
        </w:rPr>
        <w:t xml:space="preserve">ynamika </w:t>
      </w:r>
      <w:r w:rsidR="0084701F">
        <w:rPr>
          <w:rFonts w:cstheme="minorHAnsi"/>
          <w:szCs w:val="24"/>
        </w:rPr>
        <w:t xml:space="preserve">była już jednak </w:t>
      </w:r>
      <w:r>
        <w:rPr>
          <w:rFonts w:cstheme="minorHAnsi"/>
          <w:szCs w:val="24"/>
        </w:rPr>
        <w:t>niższa od dynamiki ASKM</w:t>
      </w:r>
      <w:r w:rsidR="0084701F">
        <w:rPr>
          <w:rFonts w:cstheme="minorHAnsi"/>
          <w:szCs w:val="24"/>
        </w:rPr>
        <w:t xml:space="preserve"> o 0,</w:t>
      </w:r>
      <w:r w:rsidR="008B6698">
        <w:rPr>
          <w:rFonts w:cstheme="minorHAnsi"/>
          <w:szCs w:val="24"/>
        </w:rPr>
        <w:t xml:space="preserve">8 </w:t>
      </w:r>
      <w:r w:rsidR="0084701F">
        <w:rPr>
          <w:rFonts w:cstheme="minorHAnsi"/>
          <w:szCs w:val="24"/>
        </w:rPr>
        <w:t xml:space="preserve">punktu procentowego. </w:t>
      </w:r>
      <w:r w:rsidR="002E4EA4" w:rsidRPr="00E401F0">
        <w:rPr>
          <w:rFonts w:cstheme="minorHAnsi"/>
          <w:szCs w:val="24"/>
        </w:rPr>
        <w:t xml:space="preserve">Średnia długość odcinka lotu wzrosła o ok. </w:t>
      </w:r>
      <w:r w:rsidR="0084701F">
        <w:rPr>
          <w:rFonts w:cstheme="minorHAnsi"/>
          <w:szCs w:val="24"/>
        </w:rPr>
        <w:t>25 km</w:t>
      </w:r>
      <w:r w:rsidR="002E4EA4" w:rsidRPr="00E401F0">
        <w:rPr>
          <w:rFonts w:cstheme="minorHAnsi"/>
          <w:szCs w:val="24"/>
        </w:rPr>
        <w:t>.</w:t>
      </w:r>
    </w:p>
    <w:p w14:paraId="7A398418" w14:textId="77777777" w:rsidR="00EB1713" w:rsidRDefault="00EB1713" w:rsidP="00EB1713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0699D74F" wp14:editId="1B115AC8">
            <wp:extent cx="3600000" cy="1922400"/>
            <wp:effectExtent l="0" t="0" r="635" b="1905"/>
            <wp:docPr id="70" name="Wykres 70" descr="Wykres przedstawia wartości RPKM w minionych kwartałach z uwzględnieniem analogicznego okresu poprzedniego roku. Dane przedstawione w Tabeli 17.1 poniżej." title="Wykres 17.1 RPKM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6A6CF743" w14:textId="4E739432" w:rsidR="00EB1713" w:rsidRPr="00050164" w:rsidRDefault="00EB1713" w:rsidP="00E06EAF">
      <w:pPr>
        <w:pStyle w:val="Legenda"/>
        <w:rPr>
          <w:rFonts w:cstheme="minorHAnsi"/>
          <w:szCs w:val="24"/>
        </w:rPr>
      </w:pPr>
      <w:bookmarkStart w:id="74" w:name="_Toc219462803"/>
      <w:r w:rsidRPr="00050164">
        <w:rPr>
          <w:b/>
        </w:rPr>
        <w:t xml:space="preserve">Wykres 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STYLEREF 1 \s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17</w:t>
      </w:r>
      <w:r w:rsidR="00F27BCD" w:rsidRPr="00050164">
        <w:rPr>
          <w:b/>
        </w:rPr>
        <w:fldChar w:fldCharType="end"/>
      </w:r>
      <w:r w:rsidR="00F27BCD" w:rsidRPr="00050164">
        <w:rPr>
          <w:b/>
        </w:rPr>
        <w:t>.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SEQ Wykres \* ARABIC \s 1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1</w:t>
      </w:r>
      <w:r w:rsidR="00F27BCD" w:rsidRPr="00050164">
        <w:rPr>
          <w:b/>
        </w:rPr>
        <w:fldChar w:fldCharType="end"/>
      </w:r>
      <w:r w:rsidRPr="00050164">
        <w:rPr>
          <w:noProof/>
        </w:rPr>
        <w:t xml:space="preserve"> </w:t>
      </w:r>
      <w:r w:rsidR="0036763E" w:rsidRPr="00050164">
        <w:rPr>
          <w:noProof/>
        </w:rPr>
        <w:t>RPKM (mln) – narastająco – wykres przedstawia wartości RPKM w pierwszej połowie 2025</w:t>
      </w:r>
      <w:r w:rsidR="003E70F6" w:rsidRPr="00050164">
        <w:rPr>
          <w:noProof/>
        </w:rPr>
        <w:t xml:space="preserve"> </w:t>
      </w:r>
      <w:r w:rsidR="0036763E" w:rsidRPr="00050164">
        <w:rPr>
          <w:noProof/>
        </w:rPr>
        <w:t xml:space="preserve">roku z uwzględnieniem analogicznego okresu 2024 </w:t>
      </w:r>
      <w:r w:rsidR="0036763E" w:rsidRPr="00050164">
        <w:rPr>
          <w:iCs w:val="0"/>
          <w:szCs w:val="22"/>
        </w:rPr>
        <w:t>roku</w:t>
      </w:r>
      <w:bookmarkEnd w:id="74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1 RPKM (mln) – narastająco"/>
        <w:tblDescription w:val="Tabela przedstawia wartości RPKM w minionych kwartałach z uwzględnieniem analogicznego okresu poprzedniego roku. "/>
      </w:tblPr>
      <w:tblGrid>
        <w:gridCol w:w="1590"/>
        <w:gridCol w:w="1590"/>
      </w:tblGrid>
      <w:tr w:rsidR="002E4EA4" w:rsidRPr="00E401F0" w14:paraId="35DA27CA" w14:textId="77777777" w:rsidTr="00086DF6">
        <w:trPr>
          <w:trHeight w:val="317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6BC19" w14:textId="77777777" w:rsidR="002E4EA4" w:rsidRPr="00E401F0" w:rsidRDefault="002E4EA4" w:rsidP="00E8592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B0777" w14:textId="77777777" w:rsidR="002E4EA4" w:rsidRPr="00E401F0" w:rsidRDefault="002E4EA4" w:rsidP="00E8592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9078D6" w:rsidRPr="00E401F0" w14:paraId="70E7FC79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535C5" w14:textId="77777777" w:rsidR="009078D6" w:rsidRPr="00EB1713" w:rsidRDefault="00E06EAF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5C81AF" w14:textId="77777777" w:rsidR="009078D6" w:rsidRPr="009078D6" w:rsidRDefault="00AC51B4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50 031</w:t>
            </w:r>
          </w:p>
        </w:tc>
      </w:tr>
      <w:tr w:rsidR="009078D6" w:rsidRPr="00E401F0" w14:paraId="70E70E2F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DAF5D" w14:textId="77777777" w:rsidR="009078D6" w:rsidRPr="00EB1713" w:rsidRDefault="00E06EAF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CD2A93" w14:textId="77777777" w:rsidR="009078D6" w:rsidRPr="009078D6" w:rsidRDefault="00E06EAF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43 715</w:t>
            </w:r>
          </w:p>
        </w:tc>
      </w:tr>
    </w:tbl>
    <w:p w14:paraId="6B181789" w14:textId="77777777" w:rsidR="00E85922" w:rsidRDefault="00E85922">
      <w:pPr>
        <w:pStyle w:val="Legenda"/>
        <w:rPr>
          <w:noProof/>
        </w:rPr>
      </w:pPr>
      <w:bookmarkStart w:id="75" w:name="_Toc216787148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RPKM (mln) – narastająco</w:t>
      </w:r>
      <w:bookmarkEnd w:id="75"/>
    </w:p>
    <w:p w14:paraId="164BC35B" w14:textId="77777777" w:rsidR="00EB1713" w:rsidRDefault="009078D6" w:rsidP="00EB171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426EC77C" wp14:editId="03D469AD">
            <wp:extent cx="4680000" cy="2340000"/>
            <wp:effectExtent l="0" t="0" r="6350" b="3175"/>
            <wp:docPr id="2" name="Wykres 2" descr="Wykres przedstawia porównanie dynamiki wskaźnika RPKM w Polsce, Europie i na Świecie według danych ULC i IATA w wybranym okresie danego roku w porównaniu z analogicznym okresem roku poprzedniego. Dane przedstawione w Tabeli 17.2 poniżej." title="Wykres 17.2 RPKM porówn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4CB066C9" w14:textId="6969D884" w:rsidR="00EB1713" w:rsidRPr="00050164" w:rsidRDefault="00EB1713" w:rsidP="00E06EAF">
      <w:pPr>
        <w:pStyle w:val="Legenda"/>
      </w:pPr>
      <w:bookmarkStart w:id="76" w:name="_Toc219462804"/>
      <w:r w:rsidRPr="00050164">
        <w:rPr>
          <w:b/>
        </w:rPr>
        <w:t xml:space="preserve">Wykres 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STYLEREF 1 \s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17</w:t>
      </w:r>
      <w:r w:rsidR="00F27BCD" w:rsidRPr="00050164">
        <w:rPr>
          <w:b/>
        </w:rPr>
        <w:fldChar w:fldCharType="end"/>
      </w:r>
      <w:r w:rsidR="00F27BCD" w:rsidRPr="00050164">
        <w:rPr>
          <w:b/>
        </w:rPr>
        <w:t>.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SEQ Wykres \* ARABIC \s 1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2</w:t>
      </w:r>
      <w:r w:rsidR="00F27BCD" w:rsidRPr="00050164">
        <w:rPr>
          <w:b/>
        </w:rPr>
        <w:fldChar w:fldCharType="end"/>
      </w:r>
      <w:r w:rsidRPr="00050164">
        <w:rPr>
          <w:noProof/>
        </w:rPr>
        <w:t xml:space="preserve"> </w:t>
      </w:r>
      <w:r w:rsidR="0036763E" w:rsidRPr="00050164">
        <w:rPr>
          <w:noProof/>
        </w:rPr>
        <w:t xml:space="preserve">RPKM porównanie z IATA – wykres przedstawia porównanie dynamiki wskaźnika RPKM w Polsce, Europie i na Świecie według danych ULC i IATA </w:t>
      </w:r>
      <w:r w:rsidR="00086DF6" w:rsidRPr="00050164">
        <w:rPr>
          <w:noProof/>
        </w:rPr>
        <w:t>w</w:t>
      </w:r>
      <w:r w:rsidR="003E70F6" w:rsidRPr="00050164">
        <w:rPr>
          <w:noProof/>
        </w:rPr>
        <w:t xml:space="preserve"> </w:t>
      </w:r>
      <w:r w:rsidR="00086DF6" w:rsidRPr="00050164">
        <w:rPr>
          <w:noProof/>
        </w:rPr>
        <w:t xml:space="preserve">pierwszej połowie 2025 roku </w:t>
      </w:r>
      <w:r w:rsidR="0036763E" w:rsidRPr="00050164">
        <w:rPr>
          <w:noProof/>
        </w:rPr>
        <w:t xml:space="preserve">w porównaniu z analogicznym okresem 2024 </w:t>
      </w:r>
      <w:r w:rsidR="0036763E" w:rsidRPr="00050164">
        <w:rPr>
          <w:iCs w:val="0"/>
          <w:szCs w:val="22"/>
        </w:rPr>
        <w:t>roku</w:t>
      </w:r>
      <w:bookmarkEnd w:id="76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2 RPKM porównanie z IATA"/>
        <w:tblDescription w:val="Tabela przedstawia porównanie dynamiki wskaźnika RPKM w Polsce, Europie i na Świecie według danych ULC i IATA w wybranym okresie danego roku w porównaniu z analogicznym okresem roku poprzedniego. "/>
      </w:tblPr>
      <w:tblGrid>
        <w:gridCol w:w="1590"/>
        <w:gridCol w:w="1590"/>
      </w:tblGrid>
      <w:tr w:rsidR="002E4EA4" w:rsidRPr="00E401F0" w14:paraId="3D35044A" w14:textId="77777777" w:rsidTr="00086DF6">
        <w:trPr>
          <w:trHeight w:val="317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41579" w14:textId="77777777" w:rsidR="002E4EA4" w:rsidRPr="00E401F0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87E5F" w14:textId="77777777" w:rsidR="002E4EA4" w:rsidRPr="00E401F0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9078D6" w:rsidRPr="00E401F0" w14:paraId="086CD570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25570" w14:textId="77777777" w:rsidR="009078D6" w:rsidRPr="00EB1713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C47943" w14:textId="77777777" w:rsidR="009078D6" w:rsidRPr="009078D6" w:rsidRDefault="00E06EAF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14,4</w:t>
            </w:r>
            <w:r w:rsidR="009078D6" w:rsidRPr="009078D6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9078D6" w:rsidRPr="00E401F0" w14:paraId="0DFBBF5D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4D1D9" w14:textId="77777777" w:rsidR="009078D6" w:rsidRPr="00EB1713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335975" w14:textId="77777777" w:rsidR="009078D6" w:rsidRPr="009078D6" w:rsidRDefault="00E06EAF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4,5</w:t>
            </w:r>
            <w:r w:rsidR="009078D6" w:rsidRPr="009078D6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9078D6" w:rsidRPr="00E401F0" w14:paraId="61C21603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90ECE" w14:textId="77777777" w:rsidR="009078D6" w:rsidRPr="00EB1713" w:rsidRDefault="009078D6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E9BB45" w14:textId="77777777" w:rsidR="009078D6" w:rsidRPr="009078D6" w:rsidRDefault="00E06EAF" w:rsidP="009078D6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5,1</w:t>
            </w:r>
            <w:r w:rsidR="009078D6" w:rsidRPr="009078D6">
              <w:rPr>
                <w:rFonts w:cstheme="minorHAnsi"/>
                <w:color w:val="283772"/>
                <w:szCs w:val="24"/>
              </w:rPr>
              <w:t>%</w:t>
            </w:r>
          </w:p>
        </w:tc>
      </w:tr>
    </w:tbl>
    <w:p w14:paraId="6DD36A06" w14:textId="77777777" w:rsidR="00D00683" w:rsidRDefault="00D00683">
      <w:pPr>
        <w:pStyle w:val="Legenda"/>
        <w:rPr>
          <w:noProof/>
        </w:rPr>
      </w:pPr>
      <w:bookmarkStart w:id="77" w:name="_Toc216787149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RPKM porównanie z IATA</w:t>
      </w:r>
      <w:bookmarkEnd w:id="77"/>
    </w:p>
    <w:p w14:paraId="62974876" w14:textId="77777777" w:rsidR="00EB1713" w:rsidRDefault="00EB1713" w:rsidP="00EB1713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0CE3F358" wp14:editId="06E6BC1C">
            <wp:extent cx="3600000" cy="1922400"/>
            <wp:effectExtent l="0" t="0" r="635" b="1905"/>
            <wp:docPr id="72" name="Wykres 72" descr="Wykres przedstawia wartości RPKM w danym kwartale z uwzględnieniem analogicznego okresu poprzedniego roku. Dane przedstawione w Tabeli 17.3 poniżej." title="Wykres 17.3 RPKM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1EBDC907" w14:textId="54BD41DD" w:rsidR="00EB1713" w:rsidRPr="00050164" w:rsidRDefault="00EB1713" w:rsidP="0001772B">
      <w:pPr>
        <w:pStyle w:val="Legenda"/>
      </w:pPr>
      <w:bookmarkStart w:id="78" w:name="_Toc219462805"/>
      <w:r w:rsidRPr="00050164">
        <w:rPr>
          <w:b/>
        </w:rPr>
        <w:t xml:space="preserve">Wykres 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STYLEREF 1 \s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17</w:t>
      </w:r>
      <w:r w:rsidR="00F27BCD" w:rsidRPr="00050164">
        <w:rPr>
          <w:b/>
        </w:rPr>
        <w:fldChar w:fldCharType="end"/>
      </w:r>
      <w:r w:rsidR="00F27BCD" w:rsidRPr="00050164">
        <w:rPr>
          <w:b/>
        </w:rPr>
        <w:t>.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SEQ Wykres \* ARABIC \s 1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3</w:t>
      </w:r>
      <w:r w:rsidR="00F27BCD" w:rsidRPr="00050164">
        <w:rPr>
          <w:b/>
        </w:rPr>
        <w:fldChar w:fldCharType="end"/>
      </w:r>
      <w:r w:rsidR="0001772B" w:rsidRPr="00050164">
        <w:rPr>
          <w:noProof/>
        </w:rPr>
        <w:t xml:space="preserve"> </w:t>
      </w:r>
      <w:r w:rsidR="0036763E" w:rsidRPr="00050164">
        <w:rPr>
          <w:noProof/>
        </w:rPr>
        <w:t xml:space="preserve">RPKM (mln) – kwartał – wykres przedstawia wartości RPKM w drugim kwartale 2025 roku z uwzględnieniem analogicznego okresu </w:t>
      </w:r>
      <w:r w:rsidR="0036763E" w:rsidRPr="00050164">
        <w:rPr>
          <w:iCs w:val="0"/>
          <w:szCs w:val="22"/>
        </w:rPr>
        <w:t>2024</w:t>
      </w:r>
      <w:r w:rsidR="0036763E" w:rsidRPr="00050164">
        <w:rPr>
          <w:noProof/>
        </w:rPr>
        <w:t xml:space="preserve"> roku</w:t>
      </w:r>
      <w:bookmarkEnd w:id="78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3 RPKM (mln) – kwartał"/>
        <w:tblDescription w:val="Tabela przedstawia wartości RPKM w danym kwartale z uwzględnieniem analogicznego okresu poprzedniego roku. "/>
      </w:tblPr>
      <w:tblGrid>
        <w:gridCol w:w="1590"/>
        <w:gridCol w:w="1590"/>
      </w:tblGrid>
      <w:tr w:rsidR="002E4EA4" w:rsidRPr="00E401F0" w14:paraId="1C345B00" w14:textId="77777777" w:rsidTr="00086DF6">
        <w:trPr>
          <w:trHeight w:val="317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5E1B7" w14:textId="77777777" w:rsidR="002E4EA4" w:rsidRPr="00E401F0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110F5" w14:textId="77777777" w:rsidR="002E4EA4" w:rsidRPr="00E401F0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EE6BF3" w:rsidRPr="00E401F0" w14:paraId="3FA37001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3DA3B" w14:textId="77777777" w:rsidR="00EE6BF3" w:rsidRPr="00EB1713" w:rsidRDefault="00AF3A40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27CB00" w14:textId="77777777" w:rsidR="00EE6BF3" w:rsidRPr="00EE6BF3" w:rsidRDefault="00AC51B4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27 804</w:t>
            </w:r>
          </w:p>
        </w:tc>
      </w:tr>
      <w:tr w:rsidR="00EE6BF3" w:rsidRPr="00E401F0" w14:paraId="6B85714A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CA842" w14:textId="77777777" w:rsidR="00EE6BF3" w:rsidRPr="00EB1713" w:rsidRDefault="00AF3A40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9FDA46" w14:textId="77777777" w:rsidR="00EE6BF3" w:rsidRPr="00EE6BF3" w:rsidRDefault="00AF3A40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24 575</w:t>
            </w:r>
          </w:p>
        </w:tc>
      </w:tr>
    </w:tbl>
    <w:p w14:paraId="1299EA4F" w14:textId="0BAE0FF2" w:rsidR="0078101D" w:rsidRPr="0078101D" w:rsidRDefault="00D00683" w:rsidP="00086DF6">
      <w:pPr>
        <w:pStyle w:val="Legenda"/>
      </w:pPr>
      <w:bookmarkStart w:id="79" w:name="_Toc216787150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RPKM (mln) – kwartał</w:t>
      </w:r>
      <w:bookmarkEnd w:id="79"/>
    </w:p>
    <w:p w14:paraId="437BE830" w14:textId="77777777" w:rsidR="002E4EA4" w:rsidRPr="00E401F0" w:rsidRDefault="00574DE0" w:rsidP="005A6434">
      <w:pPr>
        <w:pStyle w:val="Nagwek1"/>
      </w:pPr>
      <w:bookmarkStart w:id="80" w:name="_Toc178665059"/>
      <w:r w:rsidRPr="00E401F0">
        <w:t>Porównanie z danymi IATA – ASKM</w:t>
      </w:r>
      <w:bookmarkEnd w:id="80"/>
    </w:p>
    <w:p w14:paraId="038750E2" w14:textId="592F1230" w:rsidR="002E4EA4" w:rsidRPr="00E401F0" w:rsidRDefault="00B530FA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="00D00683" w:rsidRPr="00E401F0">
        <w:rPr>
          <w:rFonts w:cstheme="minorHAnsi"/>
          <w:szCs w:val="24"/>
        </w:rPr>
        <w:t xml:space="preserve"> </w:t>
      </w:r>
      <w:r w:rsidR="00477845">
        <w:rPr>
          <w:rFonts w:cstheme="minorHAnsi"/>
          <w:szCs w:val="24"/>
        </w:rPr>
        <w:t>pierwszej połowie</w:t>
      </w:r>
      <w:r w:rsidR="00D00683" w:rsidRPr="00E401F0">
        <w:rPr>
          <w:rFonts w:cstheme="minorHAnsi"/>
          <w:szCs w:val="24"/>
        </w:rPr>
        <w:t xml:space="preserve"> 202</w:t>
      </w:r>
      <w:r w:rsidR="0078101D">
        <w:rPr>
          <w:rFonts w:cstheme="minorHAnsi"/>
          <w:szCs w:val="24"/>
        </w:rPr>
        <w:t>5</w:t>
      </w:r>
      <w:r w:rsidR="00222F48">
        <w:rPr>
          <w:rFonts w:cstheme="minorHAnsi"/>
          <w:szCs w:val="24"/>
        </w:rPr>
        <w:t xml:space="preserve"> roku</w:t>
      </w:r>
      <w:r>
        <w:rPr>
          <w:rFonts w:cstheme="minorHAnsi"/>
          <w:szCs w:val="24"/>
        </w:rPr>
        <w:t xml:space="preserve"> </w:t>
      </w:r>
      <w:r w:rsidR="00D00683" w:rsidRPr="00E401F0">
        <w:rPr>
          <w:rFonts w:cstheme="minorHAnsi"/>
          <w:szCs w:val="24"/>
        </w:rPr>
        <w:t>o</w:t>
      </w:r>
      <w:r w:rsidR="00222F48">
        <w:rPr>
          <w:rFonts w:cstheme="minorHAnsi"/>
          <w:szCs w:val="24"/>
        </w:rPr>
        <w:t>ferowanie</w:t>
      </w:r>
      <w:r w:rsidR="002E4EA4" w:rsidRPr="00E401F0">
        <w:rPr>
          <w:rFonts w:cstheme="minorHAnsi"/>
          <w:szCs w:val="24"/>
        </w:rPr>
        <w:t xml:space="preserve"> mierzone wskaźnikiem ASKM </w:t>
      </w:r>
      <w:r w:rsidR="00D00683" w:rsidRPr="00E401F0">
        <w:rPr>
          <w:rFonts w:cstheme="minorHAnsi"/>
          <w:szCs w:val="24"/>
        </w:rPr>
        <w:t xml:space="preserve">względem </w:t>
      </w:r>
      <w:r w:rsidR="00222F48">
        <w:rPr>
          <w:rFonts w:cstheme="minorHAnsi"/>
          <w:szCs w:val="24"/>
        </w:rPr>
        <w:t>analogicznego okresu 2024</w:t>
      </w:r>
      <w:r w:rsidR="00477845">
        <w:rPr>
          <w:rFonts w:cstheme="minorHAnsi"/>
          <w:szCs w:val="24"/>
        </w:rPr>
        <w:t xml:space="preserve"> roku</w:t>
      </w:r>
      <w:r>
        <w:rPr>
          <w:rFonts w:cstheme="minorHAnsi"/>
          <w:szCs w:val="24"/>
        </w:rPr>
        <w:t xml:space="preserve"> </w:t>
      </w:r>
      <w:r w:rsidR="00222F48">
        <w:rPr>
          <w:rFonts w:cstheme="minorHAnsi"/>
          <w:szCs w:val="24"/>
        </w:rPr>
        <w:t xml:space="preserve">wzrosło o 14,4%, i był to lepszy wynik </w:t>
      </w:r>
      <w:r w:rsidR="002E4EA4" w:rsidRPr="00E401F0">
        <w:rPr>
          <w:rFonts w:cstheme="minorHAnsi"/>
          <w:szCs w:val="24"/>
        </w:rPr>
        <w:t xml:space="preserve">niż Europy </w:t>
      </w:r>
      <w:r w:rsidR="00222F48">
        <w:rPr>
          <w:rFonts w:cstheme="minorHAnsi"/>
          <w:szCs w:val="24"/>
        </w:rPr>
        <w:t>(</w:t>
      </w:r>
      <w:r w:rsidR="002E4EA4" w:rsidRPr="00E401F0">
        <w:rPr>
          <w:rFonts w:cstheme="minorHAnsi"/>
          <w:szCs w:val="24"/>
        </w:rPr>
        <w:t xml:space="preserve">o </w:t>
      </w:r>
      <w:r w:rsidR="00222F48">
        <w:rPr>
          <w:rFonts w:cstheme="minorHAnsi"/>
          <w:szCs w:val="24"/>
        </w:rPr>
        <w:t>10</w:t>
      </w:r>
      <w:r w:rsidR="00D00683" w:rsidRPr="00E401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punktów procentowych</w:t>
      </w:r>
      <w:r w:rsidR="00222F48">
        <w:rPr>
          <w:rFonts w:cstheme="minorHAnsi"/>
          <w:szCs w:val="24"/>
        </w:rPr>
        <w:t>)</w:t>
      </w:r>
      <w:r w:rsidR="002E4EA4" w:rsidRPr="00E401F0">
        <w:rPr>
          <w:rFonts w:cstheme="minorHAnsi"/>
          <w:szCs w:val="24"/>
        </w:rPr>
        <w:t xml:space="preserve"> </w:t>
      </w:r>
      <w:r w:rsidR="00D00683" w:rsidRPr="00E401F0">
        <w:rPr>
          <w:rFonts w:cstheme="minorHAnsi"/>
          <w:szCs w:val="24"/>
        </w:rPr>
        <w:t xml:space="preserve">i </w:t>
      </w:r>
      <w:r w:rsidR="00222F48">
        <w:rPr>
          <w:rFonts w:cstheme="minorHAnsi"/>
          <w:szCs w:val="24"/>
        </w:rPr>
        <w:t>Świata</w:t>
      </w:r>
      <w:r w:rsidR="002E4EA4" w:rsidRPr="00E401F0">
        <w:rPr>
          <w:rFonts w:cstheme="minorHAnsi"/>
          <w:szCs w:val="24"/>
        </w:rPr>
        <w:t xml:space="preserve"> </w:t>
      </w:r>
      <w:r w:rsidR="00222F48">
        <w:rPr>
          <w:rFonts w:cstheme="minorHAnsi"/>
          <w:szCs w:val="24"/>
        </w:rPr>
        <w:t>(</w:t>
      </w:r>
      <w:r w:rsidR="002E4EA4" w:rsidRPr="00E401F0">
        <w:rPr>
          <w:rFonts w:cstheme="minorHAnsi"/>
          <w:szCs w:val="24"/>
        </w:rPr>
        <w:t xml:space="preserve">o </w:t>
      </w:r>
      <w:r w:rsidR="00222F48">
        <w:rPr>
          <w:rFonts w:cstheme="minorHAnsi"/>
          <w:szCs w:val="24"/>
        </w:rPr>
        <w:t>9,6</w:t>
      </w:r>
      <w:r w:rsidR="002E4EA4" w:rsidRPr="00E401F0">
        <w:rPr>
          <w:rFonts w:cstheme="minorHAnsi"/>
          <w:szCs w:val="24"/>
        </w:rPr>
        <w:t xml:space="preserve"> </w:t>
      </w:r>
      <w:r w:rsidR="007919CB">
        <w:rPr>
          <w:rFonts w:cstheme="minorHAnsi"/>
          <w:szCs w:val="24"/>
        </w:rPr>
        <w:t>punktu procentowego</w:t>
      </w:r>
      <w:r w:rsidRPr="00E401F0">
        <w:rPr>
          <w:rStyle w:val="Odwoanieprzypisudolnego"/>
          <w:rFonts w:cstheme="minorHAnsi"/>
          <w:szCs w:val="24"/>
        </w:rPr>
        <w:footnoteReference w:id="8"/>
      </w:r>
      <w:r w:rsidR="00222F48">
        <w:rPr>
          <w:rFonts w:cstheme="minorHAnsi"/>
          <w:szCs w:val="24"/>
        </w:rPr>
        <w:t xml:space="preserve">). </w:t>
      </w:r>
    </w:p>
    <w:p w14:paraId="7936A09A" w14:textId="3C3F8AE0"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7E4E92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roku współczynnik ASKM wzrósł o </w:t>
      </w:r>
      <w:r w:rsidR="007E4E92">
        <w:rPr>
          <w:rFonts w:cstheme="minorHAnsi"/>
          <w:szCs w:val="24"/>
        </w:rPr>
        <w:t>13,9</w:t>
      </w:r>
      <w:r w:rsidRPr="00E401F0">
        <w:rPr>
          <w:rFonts w:cstheme="minorHAnsi"/>
          <w:szCs w:val="24"/>
        </w:rPr>
        <w:t xml:space="preserve">%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roku 202</w:t>
      </w:r>
      <w:r w:rsidR="007E4E92">
        <w:rPr>
          <w:rFonts w:cstheme="minorHAnsi"/>
          <w:szCs w:val="24"/>
        </w:rPr>
        <w:t>4.</w:t>
      </w:r>
    </w:p>
    <w:p w14:paraId="3FBC1E1E" w14:textId="77777777" w:rsidR="00EB1713" w:rsidRDefault="00EB1713" w:rsidP="00EB171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02DFDA59" wp14:editId="5CCB42BB">
            <wp:extent cx="3600000" cy="1922400"/>
            <wp:effectExtent l="38100" t="57150" r="38735" b="40005"/>
            <wp:docPr id="73" name="Wykres 73" descr="Wykres przedstawia wartości ASKM w minionych kwartałach z uwzględnieniem analogicznego okresu poprzedniego roku. Dane przedstawione w Tabeli 18.1 poniżej." title="Wykres 18.1 ASKM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058C3EA0" w14:textId="717E4138" w:rsidR="00EB1713" w:rsidRPr="00E401F0" w:rsidRDefault="00EB1713" w:rsidP="00071292">
      <w:pPr>
        <w:pStyle w:val="Legenda"/>
        <w:spacing w:after="480"/>
        <w:rPr>
          <w:rFonts w:cstheme="minorHAnsi"/>
          <w:szCs w:val="24"/>
        </w:rPr>
      </w:pPr>
      <w:bookmarkStart w:id="81" w:name="_Toc219462806"/>
      <w:r w:rsidRPr="00EB171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18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="00D62FC1">
        <w:rPr>
          <w:b/>
        </w:rPr>
        <w:t xml:space="preserve"> </w:t>
      </w:r>
      <w:r w:rsidR="0036763E" w:rsidRPr="0036763E">
        <w:rPr>
          <w:noProof/>
        </w:rPr>
        <w:t>ASKM (mln) – narastająco – wykres przedstawia wartości ASKM w pierwszej połowie 2025 roku z uwzględnieniem analogicznego okresu 2024</w:t>
      </w:r>
      <w:r w:rsidR="0036763E" w:rsidRPr="0036763E">
        <w:rPr>
          <w:i w:val="0"/>
          <w:iCs w:val="0"/>
          <w:szCs w:val="22"/>
        </w:rPr>
        <w:t xml:space="preserve"> </w:t>
      </w:r>
      <w:r w:rsidR="0036763E" w:rsidRPr="0036763E">
        <w:rPr>
          <w:noProof/>
        </w:rPr>
        <w:t>roku</w:t>
      </w:r>
      <w:bookmarkEnd w:id="81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8.1 ASKM (mln) – narastająco"/>
        <w:tblDescription w:val="Tabela przedstawia wartości ASKM w minionych kwartałach z uwzględnieniem analogicznego okresu poprzedniego roku. "/>
      </w:tblPr>
      <w:tblGrid>
        <w:gridCol w:w="1590"/>
        <w:gridCol w:w="1590"/>
      </w:tblGrid>
      <w:tr w:rsidR="002E4EA4" w:rsidRPr="00E401F0" w14:paraId="1DE29588" w14:textId="77777777" w:rsidTr="00086DF6">
        <w:trPr>
          <w:trHeight w:val="317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B2570" w14:textId="77777777"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lastRenderedPageBreak/>
              <w:t>Narastająco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82510" w14:textId="77777777"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EE6BF3" w:rsidRPr="00E401F0" w14:paraId="4958BD76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F3729" w14:textId="77777777" w:rsidR="00EE6BF3" w:rsidRPr="00EB1713" w:rsidRDefault="0061637C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43CE93" w14:textId="77777777" w:rsidR="00EE6BF3" w:rsidRPr="00EE6BF3" w:rsidRDefault="00AC51B4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57 644</w:t>
            </w:r>
          </w:p>
        </w:tc>
      </w:tr>
      <w:tr w:rsidR="00EE6BF3" w:rsidRPr="00E401F0" w14:paraId="15E940A5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92C75" w14:textId="77777777" w:rsidR="00EE6BF3" w:rsidRPr="00EB1713" w:rsidRDefault="0061637C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DB877B" w14:textId="77777777" w:rsidR="00EE6BF3" w:rsidRPr="00EE6BF3" w:rsidRDefault="0061637C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50 385</w:t>
            </w:r>
          </w:p>
        </w:tc>
      </w:tr>
    </w:tbl>
    <w:p w14:paraId="3061ADF1" w14:textId="77777777" w:rsidR="00EA12F7" w:rsidRDefault="00EA12F7">
      <w:pPr>
        <w:pStyle w:val="Legenda"/>
        <w:rPr>
          <w:noProof/>
        </w:rPr>
      </w:pPr>
      <w:bookmarkStart w:id="82" w:name="_Toc216787151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18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ASKM (mln) – narastająco</w:t>
      </w:r>
      <w:bookmarkEnd w:id="82"/>
    </w:p>
    <w:p w14:paraId="2E5AD2A4" w14:textId="77777777" w:rsidR="00EB1713" w:rsidRDefault="00EE6BF3" w:rsidP="00EB171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7B2FD6F1" wp14:editId="7CCBE17D">
            <wp:extent cx="3724275" cy="1939925"/>
            <wp:effectExtent l="0" t="0" r="0" b="3175"/>
            <wp:docPr id="3" name="Wykres 3" descr="Wykres przedstawia porównanie dynamiki wskaźnika ASKM w Polsce, Europie i na Świecie według danych ULC i IATA w wybranym okresie danego roku w porównaniu z analogicznym okresem roku poprzedniego. Dane przedstawione w Tabeli 18.2 poniżej." title="Wykres 18.2 ASKM porówn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061ED3B7" w14:textId="654C8944" w:rsidR="00EB1713" w:rsidRPr="00EB1713" w:rsidRDefault="00EB1713" w:rsidP="0061637C">
      <w:pPr>
        <w:pStyle w:val="Legenda"/>
      </w:pPr>
      <w:bookmarkStart w:id="83" w:name="_Toc219462807"/>
      <w:r w:rsidRPr="00EB171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18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EB1713">
        <w:rPr>
          <w:noProof/>
        </w:rPr>
        <w:t xml:space="preserve"> </w:t>
      </w:r>
      <w:r w:rsidR="0036763E" w:rsidRPr="0036763E">
        <w:rPr>
          <w:noProof/>
        </w:rPr>
        <w:t>ASKM porównanie z IATA – wykres przedstawia porównanie dynamiki wskaźnika ASKM w Polsce, Europie i na Świecie według danych ULC i IATA pierwszej połowie w 2025 roku w porównaniu z analogicznym okresem</w:t>
      </w:r>
      <w:r w:rsidR="0036763E" w:rsidRPr="0036763E">
        <w:rPr>
          <w:i w:val="0"/>
          <w:iCs w:val="0"/>
          <w:szCs w:val="22"/>
        </w:rPr>
        <w:t xml:space="preserve"> </w:t>
      </w:r>
      <w:r w:rsidR="0036763E" w:rsidRPr="0036763E">
        <w:rPr>
          <w:noProof/>
        </w:rPr>
        <w:t>2024</w:t>
      </w:r>
      <w:r w:rsidR="003E70F6">
        <w:rPr>
          <w:noProof/>
        </w:rPr>
        <w:t xml:space="preserve"> </w:t>
      </w:r>
      <w:r w:rsidR="0036763E" w:rsidRPr="0036763E">
        <w:rPr>
          <w:noProof/>
        </w:rPr>
        <w:t>roku</w:t>
      </w:r>
      <w:bookmarkEnd w:id="83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8.2 ASKM porównanie z IATA"/>
        <w:tblDescription w:val="Tabela przedstawia porównanie dynamiki wskaźnika ASKM w Polsce, Europie i na Świecie według danych ULC i IATA w wybranym okresie danego roku w porównaniu z analogicznym okresem roku poprzedniego."/>
      </w:tblPr>
      <w:tblGrid>
        <w:gridCol w:w="1590"/>
        <w:gridCol w:w="1590"/>
      </w:tblGrid>
      <w:tr w:rsidR="002E4EA4" w:rsidRPr="00E401F0" w14:paraId="5FB176D9" w14:textId="77777777" w:rsidTr="00086DF6">
        <w:trPr>
          <w:trHeight w:val="317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CC947" w14:textId="77777777"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292AA" w14:textId="77777777"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EE6BF3" w:rsidRPr="00E401F0" w14:paraId="6E542BEB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93CAC" w14:textId="77777777" w:rsidR="00EE6BF3" w:rsidRPr="00EB171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96427" w14:textId="77777777" w:rsidR="00EE6BF3" w:rsidRPr="00EE6BF3" w:rsidRDefault="00B65D71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14,4</w:t>
            </w:r>
            <w:r w:rsidR="00EE6BF3" w:rsidRPr="00EE6BF3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EE6BF3" w:rsidRPr="00E401F0" w14:paraId="32FF703D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5CAF6" w14:textId="77777777" w:rsidR="00EE6BF3" w:rsidRPr="00EB171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E80B1E" w14:textId="77777777" w:rsidR="00EE6BF3" w:rsidRPr="00EE6BF3" w:rsidRDefault="00B65D71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4,4</w:t>
            </w:r>
            <w:r w:rsidR="00EE6BF3" w:rsidRPr="00EE6BF3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EE6BF3" w:rsidRPr="00E401F0" w14:paraId="1183E061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1B532" w14:textId="77777777" w:rsidR="00EE6BF3" w:rsidRPr="00EB171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0FB41" w14:textId="77777777" w:rsidR="00EE6BF3" w:rsidRPr="00EE6BF3" w:rsidRDefault="00B65D71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4,8</w:t>
            </w:r>
            <w:r w:rsidR="00EE6BF3" w:rsidRPr="00EE6BF3">
              <w:rPr>
                <w:rFonts w:cstheme="minorHAnsi"/>
                <w:color w:val="283772"/>
                <w:szCs w:val="24"/>
              </w:rPr>
              <w:t>%</w:t>
            </w:r>
          </w:p>
        </w:tc>
      </w:tr>
    </w:tbl>
    <w:p w14:paraId="0B43B512" w14:textId="77777777" w:rsidR="00EA12F7" w:rsidRDefault="00EA12F7">
      <w:pPr>
        <w:pStyle w:val="Legenda"/>
        <w:rPr>
          <w:noProof/>
        </w:rPr>
      </w:pPr>
      <w:bookmarkStart w:id="84" w:name="_Toc216787152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18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ASKM porównanie z IATA</w:t>
      </w:r>
      <w:bookmarkEnd w:id="84"/>
    </w:p>
    <w:p w14:paraId="3F86201F" w14:textId="77777777" w:rsidR="00EB1713" w:rsidRDefault="00EB1713" w:rsidP="00EB171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78863C2C" wp14:editId="34966548">
            <wp:extent cx="3600000" cy="1922400"/>
            <wp:effectExtent l="0" t="0" r="635" b="1905"/>
            <wp:docPr id="75" name="Wykres 75" descr="Wykres przedstawia wartości ASKM w danym kwartale z uwzględnieniem analogicznego okresu poprzedniego roku. Dane przedstawione w Tabeli 18.3 poniżej." title="Wykres 18.3 ASKM (mln) – kwartał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0B264C07" w14:textId="638B857B" w:rsidR="00EB1713" w:rsidRPr="00EB1713" w:rsidRDefault="00EB1713" w:rsidP="0061637C">
      <w:pPr>
        <w:pStyle w:val="Legenda"/>
      </w:pPr>
      <w:bookmarkStart w:id="85" w:name="_Toc219462808"/>
      <w:r w:rsidRPr="00EB171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18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3</w:t>
      </w:r>
      <w:r w:rsidR="00F27BCD">
        <w:rPr>
          <w:b/>
        </w:rPr>
        <w:fldChar w:fldCharType="end"/>
      </w:r>
      <w:r w:rsidR="00D62FC1">
        <w:rPr>
          <w:b/>
        </w:rPr>
        <w:t xml:space="preserve"> </w:t>
      </w:r>
      <w:r w:rsidR="0036763E" w:rsidRPr="0036763E">
        <w:rPr>
          <w:noProof/>
        </w:rPr>
        <w:t>ASKM (mln) – kwartał – wykres przedstawia wartości ASKM w drugim kwartale 2025 roku z uwzględnieniem analogicznego okresu</w:t>
      </w:r>
      <w:r w:rsidR="0036763E" w:rsidRPr="0036763E">
        <w:rPr>
          <w:i w:val="0"/>
          <w:iCs w:val="0"/>
          <w:szCs w:val="22"/>
        </w:rPr>
        <w:t xml:space="preserve"> </w:t>
      </w:r>
      <w:r w:rsidR="0036763E" w:rsidRPr="0036763E">
        <w:rPr>
          <w:noProof/>
        </w:rPr>
        <w:t>2024 roku</w:t>
      </w:r>
      <w:bookmarkEnd w:id="85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8.3 ASKM (mln) – kwartał"/>
        <w:tblDescription w:val="Tabela przedstawia wartości ASKM w danym kwartale z uwzględnieniem analogicznego okresu poprzedniego roku. "/>
      </w:tblPr>
      <w:tblGrid>
        <w:gridCol w:w="1590"/>
        <w:gridCol w:w="1590"/>
      </w:tblGrid>
      <w:tr w:rsidR="002E4EA4" w:rsidRPr="00E401F0" w14:paraId="193F096E" w14:textId="77777777" w:rsidTr="00086DF6">
        <w:trPr>
          <w:trHeight w:val="317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F5F04" w14:textId="77777777"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CF851" w14:textId="77777777"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EE6BF3" w:rsidRPr="00E401F0" w14:paraId="4AF845E4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977D0" w14:textId="77777777" w:rsidR="00EE6BF3" w:rsidRPr="00EB1713" w:rsidRDefault="00412BF2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6188A" w14:textId="77777777" w:rsidR="00EE6BF3" w:rsidRPr="00EE6BF3" w:rsidRDefault="00AC51B4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31 964</w:t>
            </w:r>
          </w:p>
        </w:tc>
      </w:tr>
      <w:tr w:rsidR="00EE6BF3" w:rsidRPr="00E401F0" w14:paraId="29C8C37C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E1AEA" w14:textId="77777777" w:rsidR="00EE6BF3" w:rsidRPr="00EB1713" w:rsidRDefault="00412BF2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7B49BE" w14:textId="77777777" w:rsidR="00EE6BF3" w:rsidRPr="00EE6BF3" w:rsidRDefault="00412BF2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28 052</w:t>
            </w:r>
          </w:p>
        </w:tc>
      </w:tr>
    </w:tbl>
    <w:p w14:paraId="74AD419B" w14:textId="7BBD1223" w:rsidR="00086DF6" w:rsidRDefault="00EA12F7" w:rsidP="00086DF6">
      <w:pPr>
        <w:pStyle w:val="Legenda"/>
        <w:rPr>
          <w:i w:val="0"/>
          <w:iCs w:val="0"/>
          <w:noProof/>
        </w:rPr>
      </w:pPr>
      <w:bookmarkStart w:id="86" w:name="_Toc216787153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18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ASKM (mln) – kwartał</w:t>
      </w:r>
      <w:bookmarkEnd w:id="86"/>
      <w:r w:rsidR="00086DF6">
        <w:rPr>
          <w:noProof/>
        </w:rPr>
        <w:br w:type="page"/>
      </w:r>
    </w:p>
    <w:p w14:paraId="1FF6B023" w14:textId="77777777" w:rsidR="002E4EA4" w:rsidRPr="00E401F0" w:rsidRDefault="00574DE0" w:rsidP="005A6434">
      <w:pPr>
        <w:pStyle w:val="Nagwek1"/>
      </w:pPr>
      <w:bookmarkStart w:id="87" w:name="_Toc178665060"/>
      <w:r w:rsidRPr="00E401F0">
        <w:lastRenderedPageBreak/>
        <w:t>Porównanie z danymi IATA – LF</w:t>
      </w:r>
      <w:bookmarkEnd w:id="87"/>
    </w:p>
    <w:p w14:paraId="55CFE3C3" w14:textId="4F19377B" w:rsidR="00D8276B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Współczynnik wypełnienia miejsc LF wyniósł </w:t>
      </w:r>
      <w:r w:rsidR="007B4A6D" w:rsidRPr="00E401F0">
        <w:rPr>
          <w:rFonts w:cstheme="minorHAnsi"/>
          <w:szCs w:val="24"/>
        </w:rPr>
        <w:t xml:space="preserve">w </w:t>
      </w:r>
      <w:r w:rsidR="00617AFC">
        <w:rPr>
          <w:rFonts w:cstheme="minorHAnsi"/>
          <w:szCs w:val="24"/>
        </w:rPr>
        <w:t>pierwszym półroczu 2025</w:t>
      </w:r>
      <w:r w:rsidRPr="00E401F0">
        <w:rPr>
          <w:rFonts w:cstheme="minorHAnsi"/>
          <w:szCs w:val="24"/>
        </w:rPr>
        <w:t xml:space="preserve"> r</w:t>
      </w:r>
      <w:r w:rsidR="00693D14">
        <w:rPr>
          <w:rFonts w:cstheme="minorHAnsi"/>
          <w:szCs w:val="24"/>
        </w:rPr>
        <w:t>oku</w:t>
      </w:r>
      <w:r w:rsidRPr="00E401F0">
        <w:rPr>
          <w:rFonts w:cstheme="minorHAnsi"/>
          <w:szCs w:val="24"/>
        </w:rPr>
        <w:t xml:space="preserve"> </w:t>
      </w:r>
      <w:r w:rsidR="00617AFC">
        <w:rPr>
          <w:rFonts w:cstheme="minorHAnsi"/>
          <w:szCs w:val="24"/>
        </w:rPr>
        <w:t>86,8% i nie zmienił się w stosunku do analogicznego okresu 2024 r</w:t>
      </w:r>
      <w:r w:rsidR="009162B4">
        <w:rPr>
          <w:rFonts w:cstheme="minorHAnsi"/>
          <w:szCs w:val="24"/>
        </w:rPr>
        <w:t>oku</w:t>
      </w:r>
      <w:r w:rsidR="00617AFC">
        <w:rPr>
          <w:rFonts w:cstheme="minorHAnsi"/>
          <w:szCs w:val="24"/>
        </w:rPr>
        <w:t xml:space="preserve">. To oznacza, że </w:t>
      </w:r>
      <w:r w:rsidR="008B6698">
        <w:rPr>
          <w:rFonts w:cstheme="minorHAnsi"/>
          <w:szCs w:val="24"/>
        </w:rPr>
        <w:t xml:space="preserve">jego dynamika była </w:t>
      </w:r>
      <w:r w:rsidR="005C1F7B">
        <w:rPr>
          <w:rFonts w:cstheme="minorHAnsi"/>
          <w:szCs w:val="24"/>
        </w:rPr>
        <w:t>nieco</w:t>
      </w:r>
      <w:r w:rsidR="008B6698">
        <w:rPr>
          <w:rFonts w:cstheme="minorHAnsi"/>
          <w:szCs w:val="24"/>
        </w:rPr>
        <w:t xml:space="preserve"> niższa</w:t>
      </w:r>
      <w:r w:rsidRPr="00E401F0">
        <w:rPr>
          <w:rFonts w:cstheme="minorHAnsi"/>
          <w:szCs w:val="24"/>
        </w:rPr>
        <w:t xml:space="preserve"> na rynku polskim</w:t>
      </w:r>
      <w:r w:rsidR="00693D14">
        <w:rPr>
          <w:rFonts w:cstheme="minorHAnsi"/>
          <w:szCs w:val="24"/>
        </w:rPr>
        <w:t>, niż na rynku europejskim</w:t>
      </w:r>
      <w:r w:rsidR="00617AFC">
        <w:rPr>
          <w:rFonts w:cstheme="minorHAnsi"/>
          <w:szCs w:val="24"/>
        </w:rPr>
        <w:t xml:space="preserve"> (</w:t>
      </w:r>
      <w:r w:rsidR="00461DE1">
        <w:rPr>
          <w:rFonts w:cstheme="minorHAnsi"/>
          <w:szCs w:val="24"/>
        </w:rPr>
        <w:t xml:space="preserve">o </w:t>
      </w:r>
      <w:r w:rsidR="00617AFC">
        <w:rPr>
          <w:rFonts w:cstheme="minorHAnsi"/>
          <w:szCs w:val="24"/>
        </w:rPr>
        <w:t>0,1 punktu procentowego)</w:t>
      </w:r>
      <w:r w:rsidR="00C92EC5">
        <w:rPr>
          <w:rFonts w:cstheme="minorHAnsi"/>
          <w:szCs w:val="24"/>
        </w:rPr>
        <w:t xml:space="preserve"> </w:t>
      </w:r>
      <w:r w:rsidR="00693D14">
        <w:rPr>
          <w:rFonts w:cstheme="minorHAnsi"/>
          <w:szCs w:val="24"/>
        </w:rPr>
        <w:t>i</w:t>
      </w:r>
      <w:r w:rsidRPr="00E401F0">
        <w:rPr>
          <w:rFonts w:cstheme="minorHAnsi"/>
          <w:szCs w:val="24"/>
        </w:rPr>
        <w:t xml:space="preserve"> światowym</w:t>
      </w:r>
      <w:r w:rsidR="00461DE1">
        <w:rPr>
          <w:rFonts w:cstheme="minorHAnsi"/>
          <w:szCs w:val="24"/>
        </w:rPr>
        <w:t xml:space="preserve"> (</w:t>
      </w:r>
      <w:r w:rsidR="00461DE1" w:rsidRPr="00E401F0">
        <w:rPr>
          <w:rFonts w:cstheme="minorHAnsi"/>
          <w:szCs w:val="24"/>
        </w:rPr>
        <w:t xml:space="preserve">o </w:t>
      </w:r>
      <w:r w:rsidR="00461DE1">
        <w:rPr>
          <w:rFonts w:cstheme="minorHAnsi"/>
          <w:szCs w:val="24"/>
        </w:rPr>
        <w:t>0,2</w:t>
      </w:r>
      <w:r w:rsidR="00461DE1" w:rsidRPr="00E401F0">
        <w:rPr>
          <w:rFonts w:cstheme="minorHAnsi"/>
          <w:szCs w:val="24"/>
        </w:rPr>
        <w:t xml:space="preserve"> </w:t>
      </w:r>
      <w:r w:rsidR="00461DE1">
        <w:rPr>
          <w:rFonts w:cstheme="minorHAnsi"/>
          <w:szCs w:val="24"/>
        </w:rPr>
        <w:t>punktu procentowego)</w:t>
      </w:r>
      <w:r w:rsidR="00A85D41" w:rsidRPr="00E401F0">
        <w:rPr>
          <w:rStyle w:val="Odwoanieprzypisudolnego"/>
          <w:rFonts w:cstheme="minorHAnsi"/>
          <w:szCs w:val="24"/>
        </w:rPr>
        <w:footnoteReference w:id="9"/>
      </w:r>
      <w:r w:rsidR="00461DE1">
        <w:rPr>
          <w:rFonts w:cstheme="minorHAnsi"/>
          <w:szCs w:val="24"/>
        </w:rPr>
        <w:t xml:space="preserve"> </w:t>
      </w:r>
      <w:r w:rsidR="00693D14">
        <w:rPr>
          <w:rFonts w:cstheme="minorHAnsi"/>
          <w:szCs w:val="24"/>
        </w:rPr>
        <w:t xml:space="preserve">porównując </w:t>
      </w:r>
      <w:r w:rsidR="00461DE1">
        <w:rPr>
          <w:rFonts w:cstheme="minorHAnsi"/>
          <w:szCs w:val="24"/>
        </w:rPr>
        <w:t>z pierwszą połową</w:t>
      </w:r>
      <w:r w:rsidR="00693D14">
        <w:rPr>
          <w:rFonts w:cstheme="minorHAnsi"/>
          <w:szCs w:val="24"/>
        </w:rPr>
        <w:t xml:space="preserve"> 2024</w:t>
      </w:r>
      <w:r w:rsidR="008B6698">
        <w:rPr>
          <w:rFonts w:cstheme="minorHAnsi"/>
          <w:szCs w:val="24"/>
        </w:rPr>
        <w:t xml:space="preserve"> roku</w:t>
      </w:r>
      <w:r w:rsidRPr="00E401F0">
        <w:rPr>
          <w:rFonts w:cstheme="minorHAnsi"/>
          <w:szCs w:val="24"/>
        </w:rPr>
        <w:t xml:space="preserve">. </w:t>
      </w:r>
    </w:p>
    <w:p w14:paraId="2361A0C2" w14:textId="44062849"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Średnia liczba osób przypadająca na rejs wyniosła </w:t>
      </w:r>
      <w:r w:rsidR="00D8276B" w:rsidRPr="00E401F0">
        <w:rPr>
          <w:rFonts w:cstheme="minorHAnsi"/>
          <w:szCs w:val="24"/>
        </w:rPr>
        <w:t>w</w:t>
      </w:r>
      <w:r w:rsidR="00693D14">
        <w:rPr>
          <w:rFonts w:cstheme="minorHAnsi"/>
          <w:szCs w:val="24"/>
        </w:rPr>
        <w:t xml:space="preserve"> pierwszym półroczu</w:t>
      </w:r>
      <w:r w:rsidR="00D8276B" w:rsidRPr="00E401F0">
        <w:rPr>
          <w:rFonts w:cstheme="minorHAnsi"/>
          <w:szCs w:val="24"/>
        </w:rPr>
        <w:t xml:space="preserve"> </w:t>
      </w:r>
      <w:r w:rsidR="008B6698" w:rsidRPr="00E401F0">
        <w:rPr>
          <w:rFonts w:cstheme="minorHAnsi"/>
          <w:szCs w:val="24"/>
        </w:rPr>
        <w:t>202</w:t>
      </w:r>
      <w:r w:rsidR="008B6698">
        <w:rPr>
          <w:rFonts w:cstheme="minorHAnsi"/>
          <w:szCs w:val="24"/>
        </w:rPr>
        <w:t>5</w:t>
      </w:r>
      <w:r w:rsidR="008B6698" w:rsidRPr="00E401F0">
        <w:rPr>
          <w:rFonts w:cstheme="minorHAnsi"/>
          <w:szCs w:val="24"/>
        </w:rPr>
        <w:t xml:space="preserve"> </w:t>
      </w:r>
      <w:r w:rsidR="00D8276B" w:rsidRPr="00E401F0">
        <w:rPr>
          <w:rFonts w:cstheme="minorHAnsi"/>
          <w:szCs w:val="24"/>
        </w:rPr>
        <w:t xml:space="preserve">roku </w:t>
      </w:r>
      <w:r w:rsidR="00461DE1">
        <w:rPr>
          <w:rFonts w:cstheme="minorHAnsi"/>
          <w:szCs w:val="24"/>
        </w:rPr>
        <w:t>13</w:t>
      </w:r>
      <w:r w:rsidR="008B6698">
        <w:rPr>
          <w:rFonts w:cstheme="minorHAnsi"/>
          <w:szCs w:val="24"/>
        </w:rPr>
        <w:t>9</w:t>
      </w:r>
      <w:r w:rsidR="00C92EC5">
        <w:rPr>
          <w:rFonts w:cstheme="minorHAnsi"/>
          <w:szCs w:val="24"/>
        </w:rPr>
        <w:t xml:space="preserve"> pasażerów i wzrosła o </w:t>
      </w:r>
      <w:r w:rsidR="00461DE1">
        <w:rPr>
          <w:rFonts w:cstheme="minorHAnsi"/>
          <w:szCs w:val="24"/>
        </w:rPr>
        <w:t>3 pasażerów</w:t>
      </w:r>
      <w:r w:rsidRPr="00E401F0">
        <w:rPr>
          <w:rFonts w:cstheme="minorHAnsi"/>
          <w:szCs w:val="24"/>
        </w:rPr>
        <w:t xml:space="preserve"> w porównaniu z </w:t>
      </w:r>
      <w:r w:rsidR="00693D14">
        <w:rPr>
          <w:rFonts w:cstheme="minorHAnsi"/>
          <w:szCs w:val="24"/>
        </w:rPr>
        <w:t xml:space="preserve">analogicznym okresem </w:t>
      </w:r>
      <w:r w:rsidRPr="00E401F0">
        <w:rPr>
          <w:rFonts w:cstheme="minorHAnsi"/>
          <w:szCs w:val="24"/>
        </w:rPr>
        <w:t>202</w:t>
      </w:r>
      <w:r w:rsidR="00461DE1">
        <w:rPr>
          <w:rFonts w:cstheme="minorHAnsi"/>
          <w:szCs w:val="24"/>
        </w:rPr>
        <w:t>4 roku.</w:t>
      </w:r>
    </w:p>
    <w:p w14:paraId="7361020C" w14:textId="40320217"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współczynnik LF </w:t>
      </w:r>
      <w:r w:rsidR="00570D25">
        <w:rPr>
          <w:rFonts w:cstheme="minorHAnsi"/>
          <w:szCs w:val="24"/>
        </w:rPr>
        <w:t>spadł</w:t>
      </w:r>
      <w:r w:rsidRPr="00E401F0">
        <w:rPr>
          <w:rFonts w:cstheme="minorHAnsi"/>
          <w:szCs w:val="24"/>
        </w:rPr>
        <w:t xml:space="preserve"> o </w:t>
      </w:r>
      <w:r w:rsidR="00C92EC5">
        <w:rPr>
          <w:rFonts w:cstheme="minorHAnsi"/>
          <w:szCs w:val="24"/>
        </w:rPr>
        <w:t>0,6</w:t>
      </w:r>
      <w:r w:rsidRPr="00E401F0">
        <w:rPr>
          <w:rFonts w:cstheme="minorHAnsi"/>
          <w:szCs w:val="24"/>
        </w:rPr>
        <w:t xml:space="preserve"> </w:t>
      </w:r>
      <w:r w:rsidR="007919CB">
        <w:rPr>
          <w:rFonts w:cstheme="minorHAnsi"/>
          <w:szCs w:val="24"/>
        </w:rPr>
        <w:t xml:space="preserve">punktu procentowego </w:t>
      </w:r>
      <w:r w:rsidRPr="00E401F0">
        <w:rPr>
          <w:rFonts w:cstheme="minorHAnsi"/>
          <w:szCs w:val="24"/>
        </w:rPr>
        <w:t>w stosunku do analogicznego okresu roku 202</w:t>
      </w:r>
      <w:r w:rsidR="00461DE1">
        <w:rPr>
          <w:rFonts w:cstheme="minorHAnsi"/>
          <w:szCs w:val="24"/>
        </w:rPr>
        <w:t xml:space="preserve">4 i wyniósł w </w:t>
      </w:r>
      <w:r w:rsidRPr="00E401F0">
        <w:rPr>
          <w:rFonts w:cstheme="minorHAnsi"/>
          <w:szCs w:val="24"/>
        </w:rPr>
        <w:t xml:space="preserve">tym okresie </w:t>
      </w:r>
      <w:r w:rsidR="00461DE1">
        <w:rPr>
          <w:rFonts w:cstheme="minorHAnsi"/>
          <w:szCs w:val="24"/>
        </w:rPr>
        <w:t>87</w:t>
      </w:r>
      <w:r w:rsidRPr="00E401F0">
        <w:rPr>
          <w:rFonts w:cstheme="minorHAnsi"/>
          <w:szCs w:val="24"/>
        </w:rPr>
        <w:t xml:space="preserve">%. Średnia liczba osób przypadających na rejs wzrosła o </w:t>
      </w:r>
      <w:r w:rsidR="00461DE1">
        <w:rPr>
          <w:rFonts w:cstheme="minorHAnsi"/>
          <w:szCs w:val="24"/>
        </w:rPr>
        <w:t xml:space="preserve">2 </w:t>
      </w:r>
      <w:r w:rsidR="00570D25">
        <w:rPr>
          <w:rFonts w:cstheme="minorHAnsi"/>
          <w:szCs w:val="24"/>
        </w:rPr>
        <w:t>pasażerów</w:t>
      </w:r>
      <w:r w:rsidRPr="00E401F0">
        <w:rPr>
          <w:rFonts w:cstheme="minorHAnsi"/>
          <w:szCs w:val="24"/>
        </w:rPr>
        <w:t xml:space="preserve"> względem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="00D8276B" w:rsidRPr="00E401F0">
        <w:rPr>
          <w:rFonts w:cstheme="minorHAnsi"/>
          <w:szCs w:val="24"/>
        </w:rPr>
        <w:t xml:space="preserve"> </w:t>
      </w:r>
      <w:r w:rsidR="008B6698" w:rsidRPr="00E401F0">
        <w:rPr>
          <w:rFonts w:cstheme="minorHAnsi"/>
          <w:szCs w:val="24"/>
        </w:rPr>
        <w:t>202</w:t>
      </w:r>
      <w:r w:rsidR="008B6698">
        <w:rPr>
          <w:rFonts w:cstheme="minorHAnsi"/>
          <w:szCs w:val="24"/>
        </w:rPr>
        <w:t>4</w:t>
      </w:r>
      <w:r w:rsidR="008B6698" w:rsidRPr="00E401F0">
        <w:rPr>
          <w:rFonts w:cstheme="minorHAnsi"/>
          <w:szCs w:val="24"/>
        </w:rPr>
        <w:t xml:space="preserve"> </w:t>
      </w:r>
      <w:r w:rsidR="00D8276B" w:rsidRPr="00E401F0">
        <w:rPr>
          <w:rFonts w:cstheme="minorHAnsi"/>
          <w:szCs w:val="24"/>
        </w:rPr>
        <w:t>r</w:t>
      </w:r>
      <w:r w:rsidR="00461DE1">
        <w:rPr>
          <w:rFonts w:cstheme="minorHAnsi"/>
          <w:szCs w:val="24"/>
        </w:rPr>
        <w:t>oku.</w:t>
      </w:r>
      <w:r w:rsidR="00C92EC5">
        <w:rPr>
          <w:rFonts w:cstheme="minorHAnsi"/>
          <w:szCs w:val="24"/>
        </w:rPr>
        <w:t xml:space="preserve"> Wartość ta w 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</w:t>
      </w:r>
      <w:r w:rsidR="00461DE1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r</w:t>
      </w:r>
      <w:r w:rsidR="00EF0FBC">
        <w:rPr>
          <w:rFonts w:cstheme="minorHAnsi"/>
          <w:szCs w:val="24"/>
        </w:rPr>
        <w:t>oku</w:t>
      </w:r>
      <w:r w:rsidRPr="00E401F0">
        <w:rPr>
          <w:rFonts w:cstheme="minorHAnsi"/>
          <w:szCs w:val="24"/>
        </w:rPr>
        <w:t xml:space="preserve"> wyniosła </w:t>
      </w:r>
      <w:r w:rsidR="008B6698">
        <w:rPr>
          <w:rFonts w:cstheme="minorHAnsi"/>
          <w:szCs w:val="24"/>
        </w:rPr>
        <w:t>142</w:t>
      </w:r>
      <w:r w:rsidR="008B6698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pasażerów na rejs.</w:t>
      </w:r>
    </w:p>
    <w:p w14:paraId="6B9882D0" w14:textId="77777777" w:rsidR="00F57815" w:rsidRDefault="00EB1713" w:rsidP="00F5781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5825E62F" wp14:editId="08B85227">
            <wp:extent cx="3600000" cy="1922400"/>
            <wp:effectExtent l="0" t="0" r="635" b="1905"/>
            <wp:docPr id="76" name="Wykres 76" descr="Wykres przedstawia wartości LF w minionych kwartałach z uwzględnieniem analogicznego okresu poprzedniego roku. Dane przedstawione w Tabeli 19.1 poniżej." title="Wykres 19.1 LF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0B59FC0A" w14:textId="0D44BFB8" w:rsidR="00EB1713" w:rsidRPr="00050164" w:rsidRDefault="00F57815" w:rsidP="00B65D71">
      <w:pPr>
        <w:pStyle w:val="Legenda"/>
        <w:rPr>
          <w:rFonts w:cstheme="minorHAnsi"/>
          <w:szCs w:val="24"/>
        </w:rPr>
      </w:pPr>
      <w:bookmarkStart w:id="88" w:name="_Toc219462809"/>
      <w:r w:rsidRPr="00050164">
        <w:rPr>
          <w:b/>
        </w:rPr>
        <w:t xml:space="preserve">Wykres 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STYLEREF 1 \s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19</w:t>
      </w:r>
      <w:r w:rsidR="00F27BCD" w:rsidRPr="00050164">
        <w:rPr>
          <w:b/>
        </w:rPr>
        <w:fldChar w:fldCharType="end"/>
      </w:r>
      <w:r w:rsidR="00F27BCD" w:rsidRPr="00050164">
        <w:rPr>
          <w:b/>
        </w:rPr>
        <w:t>.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SEQ Wykres \* ARABIC \s 1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1</w:t>
      </w:r>
      <w:r w:rsidR="00F27BCD" w:rsidRPr="00050164">
        <w:rPr>
          <w:b/>
        </w:rPr>
        <w:fldChar w:fldCharType="end"/>
      </w:r>
      <w:r w:rsidRPr="00050164">
        <w:rPr>
          <w:noProof/>
        </w:rPr>
        <w:t xml:space="preserve"> </w:t>
      </w:r>
      <w:r w:rsidR="0036763E" w:rsidRPr="00050164">
        <w:rPr>
          <w:noProof/>
        </w:rPr>
        <w:t xml:space="preserve">LF – narastająco – wykres przedstawia wartości LF w pierwszej połowie 2025 roku z uwzględnieniem </w:t>
      </w:r>
      <w:r w:rsidR="0036763E" w:rsidRPr="00050164">
        <w:rPr>
          <w:iCs w:val="0"/>
          <w:szCs w:val="22"/>
        </w:rPr>
        <w:t>2024 roku</w:t>
      </w:r>
      <w:bookmarkEnd w:id="88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9.1 LF – narastająco"/>
        <w:tblDescription w:val="Tabela przedstawia wartości LF w minionych kwartałach z uwzględnieniem analogicznego okresu poprzedniego roku. "/>
      </w:tblPr>
      <w:tblGrid>
        <w:gridCol w:w="1590"/>
        <w:gridCol w:w="1590"/>
      </w:tblGrid>
      <w:tr w:rsidR="002E4EA4" w:rsidRPr="00E401F0" w14:paraId="08D6BEDD" w14:textId="77777777" w:rsidTr="00086DF6">
        <w:trPr>
          <w:trHeight w:val="317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6C3E8" w14:textId="77777777"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65E91" w14:textId="77777777"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EE6BF3" w:rsidRPr="00E401F0" w14:paraId="6E2C2BF0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4E420" w14:textId="77777777" w:rsidR="00EE6BF3" w:rsidRPr="00F57815" w:rsidRDefault="00B65D71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90702D" w14:textId="77777777" w:rsidR="00EE6BF3" w:rsidRPr="00EE6BF3" w:rsidRDefault="00EE6BF3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E6BF3">
              <w:rPr>
                <w:rFonts w:cstheme="minorHAnsi"/>
                <w:color w:val="283772"/>
                <w:szCs w:val="24"/>
              </w:rPr>
              <w:t>8</w:t>
            </w:r>
            <w:r w:rsidR="00AC51B4">
              <w:rPr>
                <w:rFonts w:cstheme="minorHAnsi"/>
                <w:color w:val="283772"/>
                <w:szCs w:val="24"/>
              </w:rPr>
              <w:t>6,8</w:t>
            </w:r>
            <w:r w:rsidRPr="00EE6BF3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EE6BF3" w:rsidRPr="00E401F0" w14:paraId="79A0E7F6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E7BDE" w14:textId="77777777" w:rsidR="00EE6BF3" w:rsidRPr="00F57815" w:rsidRDefault="00B65D71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02B9DB" w14:textId="77777777" w:rsidR="00EE6BF3" w:rsidRPr="00EE6BF3" w:rsidRDefault="00AC51B4" w:rsidP="00EE6BF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86</w:t>
            </w:r>
            <w:r w:rsidR="00EE6BF3" w:rsidRPr="00EE6BF3">
              <w:rPr>
                <w:rFonts w:cstheme="minorHAnsi"/>
                <w:color w:val="283772"/>
                <w:szCs w:val="24"/>
              </w:rPr>
              <w:t>,8%</w:t>
            </w:r>
          </w:p>
        </w:tc>
      </w:tr>
    </w:tbl>
    <w:p w14:paraId="2CEFCDAB" w14:textId="77777777" w:rsidR="0063644F" w:rsidRDefault="0063644F">
      <w:pPr>
        <w:pStyle w:val="Legenda"/>
        <w:rPr>
          <w:noProof/>
        </w:rPr>
      </w:pPr>
      <w:bookmarkStart w:id="89" w:name="_Toc216787154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LF – narastająco</w:t>
      </w:r>
      <w:bookmarkEnd w:id="89"/>
    </w:p>
    <w:p w14:paraId="06B1D1FF" w14:textId="77777777" w:rsidR="00F57815" w:rsidRDefault="00F00187" w:rsidP="00F57815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3371C2E9" wp14:editId="2234513A">
            <wp:extent cx="4680000" cy="2340000"/>
            <wp:effectExtent l="0" t="0" r="6350" b="3175"/>
            <wp:docPr id="4" name="Wykres 4" descr="Wykres przedstawia porównanie zmian punktów procentowych wskaźnika LF w Polsce, Europie i na Świecie według danych ULC i IATA w wybranym okresie danego roku w porównaniu z analogicznym okresem roku poprzedniego. Dane przedstawione w Tabeli 19.2 poniżej." title="Wykres 19.2 LF porów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1B0F5144" w14:textId="7E116E2E" w:rsidR="00F57815" w:rsidRPr="00050164" w:rsidRDefault="00F57815" w:rsidP="00B65D71">
      <w:pPr>
        <w:pStyle w:val="Legenda"/>
      </w:pPr>
      <w:bookmarkStart w:id="90" w:name="_Toc219462810"/>
      <w:r w:rsidRPr="00050164">
        <w:rPr>
          <w:b/>
        </w:rPr>
        <w:t xml:space="preserve">Wykres 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STYLEREF 1 \s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19</w:t>
      </w:r>
      <w:r w:rsidR="00F27BCD" w:rsidRPr="00050164">
        <w:rPr>
          <w:b/>
        </w:rPr>
        <w:fldChar w:fldCharType="end"/>
      </w:r>
      <w:r w:rsidR="00F27BCD" w:rsidRPr="00050164">
        <w:rPr>
          <w:b/>
        </w:rPr>
        <w:t>.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SEQ Wykres \* ARABIC \s 1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2</w:t>
      </w:r>
      <w:r w:rsidR="00F27BCD" w:rsidRPr="00050164">
        <w:rPr>
          <w:b/>
        </w:rPr>
        <w:fldChar w:fldCharType="end"/>
      </w:r>
      <w:r w:rsidRPr="00050164">
        <w:rPr>
          <w:noProof/>
        </w:rPr>
        <w:t xml:space="preserve"> </w:t>
      </w:r>
      <w:r w:rsidR="0036763E" w:rsidRPr="00050164">
        <w:rPr>
          <w:noProof/>
        </w:rPr>
        <w:t xml:space="preserve">LF porównanie z IATA – wykres przedstawia porównanie zmian punktów procentowych wskaźnika LF w Polsce, Europie i na Świecie według danych ULC i IATA w pierwszej połowie 2025 roku w porównaniu z analogicznym okresem </w:t>
      </w:r>
      <w:r w:rsidR="0036763E" w:rsidRPr="00050164">
        <w:rPr>
          <w:iCs w:val="0"/>
          <w:szCs w:val="22"/>
        </w:rPr>
        <w:t>2024</w:t>
      </w:r>
      <w:r w:rsidR="0036763E" w:rsidRPr="00050164">
        <w:rPr>
          <w:noProof/>
        </w:rPr>
        <w:t xml:space="preserve"> roku</w:t>
      </w:r>
      <w:bookmarkEnd w:id="90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9.2 LF porównanie z IATA"/>
        <w:tblDescription w:val="Tabela przedstawia porównanie zmian punktów procentowych wskaźnika LF w Polsce, Europie i na Świecie według danych ULC i IATA w wybranym kwartale danego roku w porównaniu z analogicznym okresem roku poprzedniego."/>
      </w:tblPr>
      <w:tblGrid>
        <w:gridCol w:w="1590"/>
        <w:gridCol w:w="1590"/>
      </w:tblGrid>
      <w:tr w:rsidR="002E4EA4" w:rsidRPr="00E401F0" w14:paraId="257E26CF" w14:textId="77777777" w:rsidTr="00086DF6">
        <w:trPr>
          <w:trHeight w:val="317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D590D" w14:textId="77777777"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E0CCE" w14:textId="77777777"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F00187" w:rsidRPr="00E401F0" w14:paraId="56859C1F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3A338" w14:textId="77777777" w:rsidR="00F00187" w:rsidRPr="00F57815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57815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B99B3F" w14:textId="58E59A1A" w:rsidR="00F00187" w:rsidRPr="00F00187" w:rsidRDefault="007D47FC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0,0</w:t>
            </w:r>
            <w:r w:rsidR="00F00187"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F00187" w:rsidRPr="00E401F0" w14:paraId="3CBA92B9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3421A" w14:textId="77777777" w:rsidR="00F00187" w:rsidRPr="00F57815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57815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CBCE6B" w14:textId="4DA537AD" w:rsidR="00F00187" w:rsidRPr="00F00187" w:rsidRDefault="007D47FC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0,1</w:t>
            </w:r>
            <w:r w:rsidR="00F00187"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F00187" w:rsidRPr="00E401F0" w14:paraId="2400305B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B915B" w14:textId="77777777" w:rsidR="00F00187" w:rsidRPr="00F57815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57815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243B34" w14:textId="6066C37D" w:rsidR="00F00187" w:rsidRPr="00F00187" w:rsidRDefault="007D47FC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0,2</w:t>
            </w:r>
            <w:r w:rsidR="00F00187"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</w:tr>
    </w:tbl>
    <w:p w14:paraId="364BCD34" w14:textId="77777777" w:rsidR="0063644F" w:rsidRDefault="0063644F">
      <w:pPr>
        <w:pStyle w:val="Legenda"/>
        <w:rPr>
          <w:noProof/>
        </w:rPr>
      </w:pPr>
      <w:bookmarkStart w:id="91" w:name="_Toc216787155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LF porównanie z IATA</w:t>
      </w:r>
      <w:bookmarkEnd w:id="91"/>
    </w:p>
    <w:p w14:paraId="150C1BEF" w14:textId="77777777" w:rsidR="00F57815" w:rsidRDefault="00F57815" w:rsidP="00F5781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2D097BAA" wp14:editId="4C1CD43E">
            <wp:extent cx="3600000" cy="1922400"/>
            <wp:effectExtent l="0" t="0" r="635" b="1905"/>
            <wp:docPr id="78" name="Wykres 78" descr="Wykres przedstawia wartości LF w danym kwartale z uwzględnieniem analogicznego okresu poprzedniego roku. Dane przedstawione w Tabeli 19.3 poniżej." title="Wykres 19.3 LF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2C9D6363" w14:textId="67056309" w:rsidR="00F57815" w:rsidRPr="00050164" w:rsidRDefault="00F57815" w:rsidP="00B65D71">
      <w:pPr>
        <w:pStyle w:val="Legenda"/>
      </w:pPr>
      <w:bookmarkStart w:id="92" w:name="_Toc219462811"/>
      <w:r w:rsidRPr="00050164">
        <w:rPr>
          <w:b/>
        </w:rPr>
        <w:t xml:space="preserve">Wykres 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STYLEREF 1 \s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19</w:t>
      </w:r>
      <w:r w:rsidR="00F27BCD" w:rsidRPr="00050164">
        <w:rPr>
          <w:b/>
        </w:rPr>
        <w:fldChar w:fldCharType="end"/>
      </w:r>
      <w:r w:rsidR="00F27BCD" w:rsidRPr="00050164">
        <w:rPr>
          <w:b/>
        </w:rPr>
        <w:t>.</w:t>
      </w:r>
      <w:r w:rsidR="00F27BCD" w:rsidRPr="00050164">
        <w:rPr>
          <w:b/>
        </w:rPr>
        <w:fldChar w:fldCharType="begin"/>
      </w:r>
      <w:r w:rsidR="00F27BCD" w:rsidRPr="00050164">
        <w:rPr>
          <w:b/>
        </w:rPr>
        <w:instrText xml:space="preserve"> SEQ Wykres \* ARABIC \s 1 </w:instrText>
      </w:r>
      <w:r w:rsidR="00F27BCD" w:rsidRPr="00050164">
        <w:rPr>
          <w:b/>
        </w:rPr>
        <w:fldChar w:fldCharType="separate"/>
      </w:r>
      <w:r w:rsidR="00F27BCD" w:rsidRPr="00050164">
        <w:rPr>
          <w:b/>
          <w:noProof/>
        </w:rPr>
        <w:t>3</w:t>
      </w:r>
      <w:r w:rsidR="00F27BCD" w:rsidRPr="00050164">
        <w:rPr>
          <w:b/>
        </w:rPr>
        <w:fldChar w:fldCharType="end"/>
      </w:r>
      <w:r w:rsidRPr="00050164">
        <w:rPr>
          <w:noProof/>
        </w:rPr>
        <w:t xml:space="preserve"> </w:t>
      </w:r>
      <w:r w:rsidR="0036763E" w:rsidRPr="00050164">
        <w:rPr>
          <w:noProof/>
        </w:rPr>
        <w:t xml:space="preserve">LF – kwartał – wykres przedstawia wartości LF w drugim kwartale 2025roku z uwzględnieniem analogicznego okresu </w:t>
      </w:r>
      <w:r w:rsidR="0036763E" w:rsidRPr="00050164">
        <w:rPr>
          <w:iCs w:val="0"/>
          <w:szCs w:val="22"/>
        </w:rPr>
        <w:t>2024</w:t>
      </w:r>
      <w:r w:rsidR="0036763E" w:rsidRPr="00050164">
        <w:rPr>
          <w:noProof/>
        </w:rPr>
        <w:t xml:space="preserve"> roku</w:t>
      </w:r>
      <w:bookmarkEnd w:id="92"/>
    </w:p>
    <w:tbl>
      <w:tblPr>
        <w:tblW w:w="31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9.3 LF – kwartał"/>
        <w:tblDescription w:val="Tabela przedstawia wartości LF w danym kwartale z uwzględnieniem analogicznego okresu poprzedniego roku. "/>
      </w:tblPr>
      <w:tblGrid>
        <w:gridCol w:w="1590"/>
        <w:gridCol w:w="1590"/>
      </w:tblGrid>
      <w:tr w:rsidR="002E4EA4" w:rsidRPr="00E401F0" w14:paraId="7E5EDBCC" w14:textId="77777777" w:rsidTr="00086DF6">
        <w:trPr>
          <w:trHeight w:val="317"/>
          <w:tblHeader/>
          <w:jc w:val="center"/>
        </w:trPr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AA083" w14:textId="77777777"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  <w:tc>
          <w:tcPr>
            <w:tcW w:w="1590" w:type="dxa"/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C8960" w14:textId="77777777"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F00187" w:rsidRPr="00E401F0" w14:paraId="005DB594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31C98" w14:textId="0E5FC87D" w:rsidR="00F00187" w:rsidRPr="00F57815" w:rsidRDefault="00DA4DCC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0CB3E2" w14:textId="77777777" w:rsidR="00F00187" w:rsidRPr="00F00187" w:rsidRDefault="00B65D71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87,0</w:t>
            </w:r>
            <w:r w:rsidR="00F00187"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F00187" w:rsidRPr="00E401F0" w14:paraId="258E2359" w14:textId="77777777" w:rsidTr="00086DF6">
        <w:trPr>
          <w:trHeight w:val="317"/>
          <w:jc w:val="center"/>
        </w:trPr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BA564" w14:textId="4562F010" w:rsidR="00F00187" w:rsidRPr="00F57815" w:rsidRDefault="00DA4DCC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D4B0C4" w14:textId="77777777" w:rsidR="00F00187" w:rsidRPr="00F00187" w:rsidRDefault="00B65D71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87,6</w:t>
            </w:r>
            <w:r w:rsidR="00F00187"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</w:tr>
    </w:tbl>
    <w:p w14:paraId="5C3AF861" w14:textId="587C4621" w:rsidR="00086DF6" w:rsidRDefault="0063644F" w:rsidP="00086DF6">
      <w:pPr>
        <w:pStyle w:val="Legenda"/>
        <w:ind w:left="2832" w:firstLine="708"/>
        <w:jc w:val="left"/>
        <w:rPr>
          <w:i w:val="0"/>
          <w:iCs w:val="0"/>
          <w:noProof/>
        </w:rPr>
      </w:pPr>
      <w:bookmarkStart w:id="93" w:name="_Toc216787156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LF – kwartał</w:t>
      </w:r>
      <w:bookmarkEnd w:id="93"/>
      <w:r w:rsidR="00086DF6">
        <w:rPr>
          <w:noProof/>
        </w:rPr>
        <w:br w:type="page"/>
      </w:r>
    </w:p>
    <w:p w14:paraId="600D75D2" w14:textId="77777777" w:rsidR="002E4EA4" w:rsidRPr="00E401F0" w:rsidRDefault="00574DE0" w:rsidP="005A6434">
      <w:pPr>
        <w:pStyle w:val="Nagwek1"/>
      </w:pPr>
      <w:bookmarkStart w:id="94" w:name="_Toc178665061"/>
      <w:r w:rsidRPr="00E401F0">
        <w:lastRenderedPageBreak/>
        <w:t>Przewoźnicy – udział w rynku</w:t>
      </w:r>
      <w:bookmarkEnd w:id="94"/>
    </w:p>
    <w:p w14:paraId="7F6DD167" w14:textId="5AB97755" w:rsidR="002E4EA4" w:rsidRPr="00E401F0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24126A">
        <w:rPr>
          <w:rFonts w:cstheme="minorHAnsi"/>
          <w:szCs w:val="24"/>
        </w:rPr>
        <w:t xml:space="preserve">pierwszym półroczu </w:t>
      </w:r>
      <w:r w:rsidR="008327B1" w:rsidRPr="00E401F0">
        <w:rPr>
          <w:rFonts w:cstheme="minorHAnsi"/>
          <w:szCs w:val="24"/>
        </w:rPr>
        <w:t>202</w:t>
      </w:r>
      <w:r w:rsidR="008327B1">
        <w:rPr>
          <w:rFonts w:cstheme="minorHAnsi"/>
          <w:szCs w:val="24"/>
        </w:rPr>
        <w:t>5</w:t>
      </w:r>
      <w:r w:rsidR="008327B1" w:rsidRPr="00E401F0">
        <w:rPr>
          <w:rFonts w:cstheme="minorHAnsi"/>
          <w:szCs w:val="24"/>
        </w:rPr>
        <w:t xml:space="preserve"> </w:t>
      </w:r>
      <w:r w:rsidR="002E4EA4" w:rsidRPr="00E401F0">
        <w:rPr>
          <w:rFonts w:cstheme="minorHAnsi"/>
          <w:szCs w:val="24"/>
        </w:rPr>
        <w:t xml:space="preserve">roku największy, tj. </w:t>
      </w:r>
      <w:r w:rsidR="008327B1">
        <w:rPr>
          <w:rFonts w:cstheme="minorHAnsi"/>
          <w:szCs w:val="24"/>
        </w:rPr>
        <w:t>32</w:t>
      </w:r>
      <w:r w:rsidR="002E4EA4" w:rsidRPr="00E401F0">
        <w:rPr>
          <w:rFonts w:cstheme="minorHAnsi"/>
          <w:szCs w:val="24"/>
        </w:rPr>
        <w:t>% udział w rynku</w:t>
      </w:r>
      <w:r w:rsidR="00C221B3">
        <w:rPr>
          <w:rFonts w:cstheme="minorHAnsi"/>
          <w:szCs w:val="24"/>
        </w:rPr>
        <w:t xml:space="preserve"> pod względem lotów międzynarodowych</w:t>
      </w:r>
      <w:r w:rsidR="002E4EA4" w:rsidRPr="00E401F0">
        <w:rPr>
          <w:rFonts w:cstheme="minorHAnsi"/>
          <w:szCs w:val="24"/>
        </w:rPr>
        <w:t xml:space="preserve"> miał Ryanair. Drugim przewoźnikiem pod względem udziału w r</w:t>
      </w:r>
      <w:r w:rsidR="00A843E9" w:rsidRPr="00E401F0">
        <w:rPr>
          <w:rFonts w:cstheme="minorHAnsi"/>
          <w:szCs w:val="24"/>
        </w:rPr>
        <w:t xml:space="preserve">ynku był </w:t>
      </w:r>
      <w:r w:rsidR="002231BB">
        <w:rPr>
          <w:rFonts w:cstheme="minorHAnsi"/>
          <w:szCs w:val="24"/>
        </w:rPr>
        <w:t>Wizz Air</w:t>
      </w:r>
      <w:r w:rsidR="00A843E9" w:rsidRPr="00E401F0">
        <w:rPr>
          <w:rFonts w:cstheme="minorHAnsi"/>
          <w:szCs w:val="24"/>
        </w:rPr>
        <w:t xml:space="preserve"> (</w:t>
      </w:r>
      <w:r w:rsidR="008327B1">
        <w:rPr>
          <w:rFonts w:cstheme="minorHAnsi"/>
          <w:szCs w:val="24"/>
        </w:rPr>
        <w:t>22</w:t>
      </w:r>
      <w:r w:rsidR="00D350D6">
        <w:rPr>
          <w:rFonts w:cstheme="minorHAnsi"/>
          <w:szCs w:val="24"/>
        </w:rPr>
        <w:t>%), a </w:t>
      </w:r>
      <w:r w:rsidR="002E4EA4" w:rsidRPr="00E401F0">
        <w:rPr>
          <w:rFonts w:cstheme="minorHAnsi"/>
          <w:szCs w:val="24"/>
        </w:rPr>
        <w:t xml:space="preserve">trzecim </w:t>
      </w:r>
      <w:r w:rsidR="002231BB">
        <w:rPr>
          <w:rFonts w:cstheme="minorHAnsi"/>
          <w:szCs w:val="24"/>
        </w:rPr>
        <w:t>PLL LOT</w:t>
      </w:r>
      <w:r w:rsidR="002E4EA4" w:rsidRPr="00E401F0">
        <w:rPr>
          <w:rFonts w:cstheme="minorHAnsi"/>
          <w:szCs w:val="24"/>
        </w:rPr>
        <w:t xml:space="preserve"> (</w:t>
      </w:r>
      <w:r w:rsidR="00165125">
        <w:rPr>
          <w:rFonts w:cstheme="minorHAnsi"/>
          <w:szCs w:val="24"/>
        </w:rPr>
        <w:t>16,4</w:t>
      </w:r>
      <w:r w:rsidR="002E4EA4" w:rsidRPr="00E401F0">
        <w:rPr>
          <w:rFonts w:cstheme="minorHAnsi"/>
          <w:szCs w:val="24"/>
        </w:rPr>
        <w:t xml:space="preserve">%). Podobnie sytuacja przedstawiała się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="002E4EA4" w:rsidRPr="00E401F0">
        <w:rPr>
          <w:rFonts w:cstheme="minorHAnsi"/>
          <w:szCs w:val="24"/>
        </w:rPr>
        <w:t xml:space="preserve">. </w:t>
      </w:r>
    </w:p>
    <w:p w14:paraId="33074DA3" w14:textId="42FE236F"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Największe wzrosty </w:t>
      </w:r>
      <w:r w:rsidR="002231BB">
        <w:rPr>
          <w:rFonts w:cstheme="minorHAnsi"/>
          <w:szCs w:val="24"/>
        </w:rPr>
        <w:t xml:space="preserve">w ruchu międzynarodowym </w:t>
      </w:r>
      <w:r w:rsidRPr="00E401F0">
        <w:rPr>
          <w:rFonts w:cstheme="minorHAnsi"/>
          <w:szCs w:val="24"/>
        </w:rPr>
        <w:t xml:space="preserve">w </w:t>
      </w:r>
      <w:r w:rsidR="00165125">
        <w:rPr>
          <w:rFonts w:cstheme="minorHAnsi"/>
          <w:szCs w:val="24"/>
        </w:rPr>
        <w:t xml:space="preserve">pierwszej połowie </w:t>
      </w:r>
      <w:r w:rsidR="008327B1" w:rsidRPr="00E401F0">
        <w:rPr>
          <w:rFonts w:cstheme="minorHAnsi"/>
          <w:szCs w:val="24"/>
        </w:rPr>
        <w:t>202</w:t>
      </w:r>
      <w:r w:rsidR="008327B1">
        <w:rPr>
          <w:rFonts w:cstheme="minorHAnsi"/>
          <w:szCs w:val="24"/>
        </w:rPr>
        <w:t>5</w:t>
      </w:r>
      <w:r w:rsidR="008327B1" w:rsidRPr="00E401F0">
        <w:rPr>
          <w:rFonts w:cstheme="minorHAnsi"/>
          <w:szCs w:val="24"/>
        </w:rPr>
        <w:t xml:space="preserve"> </w:t>
      </w:r>
      <w:r w:rsidR="00A843E9" w:rsidRPr="00E401F0">
        <w:rPr>
          <w:rFonts w:cstheme="minorHAnsi"/>
          <w:szCs w:val="24"/>
        </w:rPr>
        <w:t xml:space="preserve">roku </w:t>
      </w:r>
      <w:r w:rsidR="00165125">
        <w:rPr>
          <w:rFonts w:cstheme="minorHAnsi"/>
          <w:szCs w:val="24"/>
        </w:rPr>
        <w:t>w porównaniu do analogicznego okresu</w:t>
      </w:r>
      <w:r w:rsidR="00213291">
        <w:rPr>
          <w:rFonts w:cstheme="minorHAnsi"/>
          <w:szCs w:val="24"/>
        </w:rPr>
        <w:t xml:space="preserve"> </w:t>
      </w:r>
      <w:r w:rsidR="008327B1">
        <w:rPr>
          <w:rFonts w:cstheme="minorHAnsi"/>
          <w:szCs w:val="24"/>
        </w:rPr>
        <w:t>2024</w:t>
      </w:r>
      <w:r w:rsidR="008327B1" w:rsidRPr="00E401F0">
        <w:rPr>
          <w:rFonts w:cstheme="minorHAnsi"/>
          <w:szCs w:val="24"/>
        </w:rPr>
        <w:t xml:space="preserve"> </w:t>
      </w:r>
      <w:r w:rsidR="00165125" w:rsidRPr="00E401F0">
        <w:rPr>
          <w:rFonts w:cstheme="minorHAnsi"/>
          <w:szCs w:val="24"/>
        </w:rPr>
        <w:t xml:space="preserve">roku </w:t>
      </w:r>
      <w:r w:rsidRPr="00E401F0">
        <w:rPr>
          <w:rFonts w:cstheme="minorHAnsi"/>
          <w:szCs w:val="24"/>
        </w:rPr>
        <w:t xml:space="preserve">odnotowali przewoźnicy: </w:t>
      </w:r>
      <w:r w:rsidR="008327B1">
        <w:rPr>
          <w:rFonts w:cstheme="minorHAnsi"/>
          <w:szCs w:val="24"/>
        </w:rPr>
        <w:t>Wizz Air</w:t>
      </w:r>
      <w:r w:rsidR="008327B1" w:rsidRPr="00E401F0">
        <w:rPr>
          <w:rFonts w:cstheme="minorHAnsi"/>
          <w:szCs w:val="24"/>
        </w:rPr>
        <w:t xml:space="preserve"> (+</w:t>
      </w:r>
      <w:r w:rsidR="008327B1">
        <w:rPr>
          <w:rFonts w:cstheme="minorHAnsi"/>
          <w:szCs w:val="24"/>
        </w:rPr>
        <w:t>836,8 tys.</w:t>
      </w:r>
      <w:r w:rsidR="008327B1" w:rsidRPr="00E401F0">
        <w:rPr>
          <w:rFonts w:cstheme="minorHAnsi"/>
          <w:szCs w:val="24"/>
        </w:rPr>
        <w:t xml:space="preserve"> pasażerów)</w:t>
      </w:r>
      <w:r w:rsidR="008327B1">
        <w:rPr>
          <w:rFonts w:cstheme="minorHAnsi"/>
          <w:szCs w:val="24"/>
        </w:rPr>
        <w:t xml:space="preserve">, </w:t>
      </w:r>
      <w:r w:rsidR="00165125">
        <w:rPr>
          <w:rFonts w:cstheme="minorHAnsi"/>
          <w:szCs w:val="24"/>
        </w:rPr>
        <w:t>Ryanair</w:t>
      </w:r>
      <w:r w:rsidR="00A843E9" w:rsidRPr="00E401F0">
        <w:rPr>
          <w:rFonts w:cstheme="minorHAnsi"/>
          <w:szCs w:val="24"/>
        </w:rPr>
        <w:t xml:space="preserve"> (+</w:t>
      </w:r>
      <w:r w:rsidR="008959AC">
        <w:rPr>
          <w:rFonts w:cstheme="minorHAnsi"/>
          <w:szCs w:val="24"/>
        </w:rPr>
        <w:t>6</w:t>
      </w:r>
      <w:r w:rsidR="00F006B4">
        <w:rPr>
          <w:rFonts w:cstheme="minorHAnsi"/>
          <w:szCs w:val="24"/>
        </w:rPr>
        <w:t>8</w:t>
      </w:r>
      <w:r w:rsidR="008327B1">
        <w:rPr>
          <w:rFonts w:cstheme="minorHAnsi"/>
          <w:szCs w:val="24"/>
        </w:rPr>
        <w:t>2,1</w:t>
      </w:r>
      <w:r w:rsidR="00165125">
        <w:rPr>
          <w:rFonts w:cstheme="minorHAnsi"/>
          <w:szCs w:val="24"/>
        </w:rPr>
        <w:t xml:space="preserve"> tys.</w:t>
      </w:r>
      <w:r w:rsidR="00A843E9" w:rsidRPr="00E401F0">
        <w:rPr>
          <w:rFonts w:cstheme="minorHAnsi"/>
          <w:szCs w:val="24"/>
        </w:rPr>
        <w:t xml:space="preserve"> pasażerów)</w:t>
      </w:r>
      <w:r w:rsidR="00CD0689">
        <w:rPr>
          <w:rFonts w:cstheme="minorHAnsi"/>
          <w:szCs w:val="24"/>
        </w:rPr>
        <w:t xml:space="preserve"> </w:t>
      </w:r>
      <w:r w:rsidR="00D350D6">
        <w:rPr>
          <w:rFonts w:cstheme="minorHAnsi"/>
          <w:szCs w:val="24"/>
        </w:rPr>
        <w:t>i </w:t>
      </w:r>
      <w:r w:rsidR="008327B1">
        <w:rPr>
          <w:rFonts w:cstheme="minorHAnsi"/>
          <w:szCs w:val="24"/>
        </w:rPr>
        <w:t>PLL LOT</w:t>
      </w:r>
      <w:r w:rsidRPr="00E401F0">
        <w:rPr>
          <w:rFonts w:cstheme="minorHAnsi"/>
          <w:szCs w:val="24"/>
        </w:rPr>
        <w:t xml:space="preserve"> (+</w:t>
      </w:r>
      <w:r w:rsidR="008327B1">
        <w:rPr>
          <w:rFonts w:cstheme="minorHAnsi"/>
          <w:szCs w:val="24"/>
        </w:rPr>
        <w:t>514</w:t>
      </w:r>
      <w:r w:rsidR="00165125">
        <w:rPr>
          <w:rFonts w:cstheme="minorHAnsi"/>
          <w:szCs w:val="24"/>
        </w:rPr>
        <w:t xml:space="preserve"> tys.</w:t>
      </w:r>
      <w:r w:rsidRPr="00E401F0">
        <w:rPr>
          <w:rFonts w:cstheme="minorHAnsi"/>
          <w:szCs w:val="24"/>
        </w:rPr>
        <w:t xml:space="preserve"> pasażerów). </w:t>
      </w:r>
    </w:p>
    <w:p w14:paraId="3A3A2B60" w14:textId="092AF655" w:rsidR="00E77874" w:rsidRDefault="00674925" w:rsidP="00674925">
      <w:pPr>
        <w:keepNext/>
      </w:pPr>
      <w:r>
        <w:rPr>
          <w:noProof/>
          <w:lang w:eastAsia="pl-PL"/>
        </w:rPr>
        <w:drawing>
          <wp:inline distT="0" distB="0" distL="0" distR="0" wp14:anchorId="5038CF41" wp14:editId="49125F1A">
            <wp:extent cx="5760720" cy="2880000"/>
            <wp:effectExtent l="38100" t="0" r="0" b="0"/>
            <wp:docPr id="10" name="Wykres 10" descr="Wykres przedstawia udział w rynku przewoźników realizujących największe przewozy w rucu międzynarodowym w Polsce w minionych kwartałach danego roku. Dane przedstawione w Tabeli 20.1 poniżej." title="Wykres 20.1 Udział w rynku wg liczby przewiezionych pasażerów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609EF3E9" w14:textId="0F8B3655" w:rsidR="00E77874" w:rsidRPr="00E401F0" w:rsidRDefault="00E77874" w:rsidP="00B65D71">
      <w:pPr>
        <w:pStyle w:val="Legenda"/>
        <w:rPr>
          <w:rFonts w:cstheme="minorHAnsi"/>
          <w:szCs w:val="24"/>
        </w:rPr>
      </w:pPr>
      <w:bookmarkStart w:id="95" w:name="_Toc219462812"/>
      <w:r w:rsidRPr="00E77874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E77874">
        <w:rPr>
          <w:noProof/>
        </w:rPr>
        <w:t xml:space="preserve"> </w:t>
      </w:r>
      <w:r w:rsidR="001B72F1" w:rsidRPr="001B72F1">
        <w:rPr>
          <w:noProof/>
        </w:rPr>
        <w:t>w rynku wg liczby przewiezionych pasażerów w ruchu międzynarodowym – wykres przedstawia udział w rynku przewoźników realizujących największe przewozy w ruchu międzynarodowym w Polsce w pierwszej</w:t>
      </w:r>
      <w:r w:rsidR="001B72F1" w:rsidRPr="001B72F1">
        <w:rPr>
          <w:i w:val="0"/>
          <w:iCs w:val="0"/>
          <w:szCs w:val="22"/>
        </w:rPr>
        <w:t xml:space="preserve"> </w:t>
      </w:r>
      <w:r w:rsidR="001B72F1" w:rsidRPr="001B72F1">
        <w:rPr>
          <w:noProof/>
        </w:rPr>
        <w:t>połowie 2025 roku</w:t>
      </w:r>
      <w:bookmarkEnd w:id="95"/>
    </w:p>
    <w:tbl>
      <w:tblPr>
        <w:tblW w:w="4291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0.1 Udział w rynku wg liczby przewiezionych pasażerów"/>
        <w:tblDescription w:val="Tabela przedstawia udział w rynku przewoźników realizujących największe przewozy w Polsce w minionych kwartałach danego roku. "/>
      </w:tblPr>
      <w:tblGrid>
        <w:gridCol w:w="3169"/>
        <w:gridCol w:w="1122"/>
      </w:tblGrid>
      <w:tr w:rsidR="002E4EA4" w:rsidRPr="00E401F0" w14:paraId="6C757EFB" w14:textId="77777777" w:rsidTr="00086DF6">
        <w:trPr>
          <w:trHeight w:val="317"/>
          <w:tblHeader/>
          <w:jc w:val="center"/>
        </w:trPr>
        <w:tc>
          <w:tcPr>
            <w:tcW w:w="3169" w:type="dxa"/>
            <w:shd w:val="clear" w:color="auto" w:fill="28377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D000A49" w14:textId="77777777" w:rsidR="002E4EA4" w:rsidRPr="00E401F0" w:rsidRDefault="002E4EA4" w:rsidP="0044043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Przewoźnik</w:t>
            </w:r>
          </w:p>
        </w:tc>
        <w:tc>
          <w:tcPr>
            <w:tcW w:w="1122" w:type="dxa"/>
            <w:shd w:val="clear" w:color="auto" w:fill="28377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59767CA" w14:textId="77777777" w:rsidR="002E4EA4" w:rsidRPr="00E401F0" w:rsidRDefault="002E4EA4" w:rsidP="0044043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Udział</w:t>
            </w:r>
          </w:p>
        </w:tc>
      </w:tr>
      <w:tr w:rsidR="00674925" w:rsidRPr="00E401F0" w14:paraId="72B9785F" w14:textId="77777777" w:rsidTr="00086DF6">
        <w:trPr>
          <w:trHeight w:val="317"/>
          <w:jc w:val="center"/>
        </w:trPr>
        <w:tc>
          <w:tcPr>
            <w:tcW w:w="316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729551C6" w14:textId="7022785C" w:rsidR="00674925" w:rsidRPr="00F00187" w:rsidRDefault="00674925" w:rsidP="0067492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74925">
              <w:rPr>
                <w:rFonts w:cstheme="minorHAnsi"/>
                <w:color w:val="283772"/>
                <w:szCs w:val="24"/>
              </w:rPr>
              <w:t>Ryanair</w:t>
            </w:r>
          </w:p>
        </w:tc>
        <w:tc>
          <w:tcPr>
            <w:tcW w:w="112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56F1D07" w14:textId="0E7032C9" w:rsidR="00674925" w:rsidRPr="00F00187" w:rsidRDefault="00674925" w:rsidP="0067492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74925">
              <w:rPr>
                <w:rFonts w:cstheme="minorHAnsi"/>
                <w:color w:val="283772"/>
                <w:szCs w:val="24"/>
              </w:rPr>
              <w:t>31,96%</w:t>
            </w:r>
          </w:p>
        </w:tc>
      </w:tr>
      <w:tr w:rsidR="00674925" w:rsidRPr="00E401F0" w14:paraId="64625096" w14:textId="77777777" w:rsidTr="00086DF6">
        <w:trPr>
          <w:trHeight w:val="317"/>
          <w:jc w:val="center"/>
        </w:trPr>
        <w:tc>
          <w:tcPr>
            <w:tcW w:w="3169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04BC4C1" w14:textId="1129E8F7" w:rsidR="00674925" w:rsidRPr="00F00187" w:rsidRDefault="00674925" w:rsidP="0067492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74925">
              <w:rPr>
                <w:rFonts w:cstheme="minorHAnsi"/>
                <w:color w:val="283772"/>
                <w:szCs w:val="24"/>
              </w:rPr>
              <w:t>Wizz Air</w:t>
            </w:r>
          </w:p>
        </w:tc>
        <w:tc>
          <w:tcPr>
            <w:tcW w:w="1122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05C7FDDA" w14:textId="20AF519E" w:rsidR="00674925" w:rsidRPr="00F00187" w:rsidRDefault="00674925" w:rsidP="0067492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74925">
              <w:rPr>
                <w:rFonts w:cstheme="minorHAnsi"/>
                <w:color w:val="283772"/>
                <w:szCs w:val="24"/>
              </w:rPr>
              <w:t>21,96%</w:t>
            </w:r>
          </w:p>
        </w:tc>
      </w:tr>
      <w:tr w:rsidR="00674925" w:rsidRPr="00E401F0" w14:paraId="3F544A17" w14:textId="77777777" w:rsidTr="00086DF6">
        <w:trPr>
          <w:trHeight w:val="317"/>
          <w:jc w:val="center"/>
        </w:trPr>
        <w:tc>
          <w:tcPr>
            <w:tcW w:w="316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ABA73C5" w14:textId="798D1DDC" w:rsidR="00674925" w:rsidRPr="00F00187" w:rsidRDefault="00674925" w:rsidP="0067492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74925">
              <w:rPr>
                <w:rFonts w:cstheme="minorHAnsi"/>
                <w:color w:val="283772"/>
                <w:szCs w:val="24"/>
              </w:rPr>
              <w:t>Polskie Linie Lotnicze LOT</w:t>
            </w:r>
          </w:p>
        </w:tc>
        <w:tc>
          <w:tcPr>
            <w:tcW w:w="112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4DF807E9" w14:textId="7164C315" w:rsidR="00674925" w:rsidRPr="00F00187" w:rsidRDefault="00674925" w:rsidP="0067492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74925">
              <w:rPr>
                <w:rFonts w:cstheme="minorHAnsi"/>
                <w:color w:val="283772"/>
                <w:szCs w:val="24"/>
              </w:rPr>
              <w:t>16,42%</w:t>
            </w:r>
          </w:p>
        </w:tc>
      </w:tr>
      <w:tr w:rsidR="00674925" w:rsidRPr="00E401F0" w14:paraId="56A91A6C" w14:textId="77777777" w:rsidTr="00086DF6">
        <w:trPr>
          <w:trHeight w:val="317"/>
          <w:jc w:val="center"/>
        </w:trPr>
        <w:tc>
          <w:tcPr>
            <w:tcW w:w="3169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1FAB2308" w14:textId="24B97D93" w:rsidR="00674925" w:rsidRPr="00F00187" w:rsidRDefault="00674925" w:rsidP="0067492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74925">
              <w:rPr>
                <w:rFonts w:cstheme="minorHAnsi"/>
                <w:color w:val="283772"/>
                <w:szCs w:val="24"/>
              </w:rPr>
              <w:t>Enter Air</w:t>
            </w:r>
          </w:p>
        </w:tc>
        <w:tc>
          <w:tcPr>
            <w:tcW w:w="1122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036BB91C" w14:textId="372E18C2" w:rsidR="00674925" w:rsidRPr="00F00187" w:rsidRDefault="00674925" w:rsidP="0067492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74925">
              <w:rPr>
                <w:rFonts w:cstheme="minorHAnsi"/>
                <w:color w:val="283772"/>
                <w:szCs w:val="24"/>
              </w:rPr>
              <w:t>5,50%</w:t>
            </w:r>
          </w:p>
        </w:tc>
      </w:tr>
      <w:tr w:rsidR="00674925" w:rsidRPr="00E401F0" w14:paraId="5939803C" w14:textId="77777777" w:rsidTr="00086DF6">
        <w:trPr>
          <w:trHeight w:val="317"/>
          <w:jc w:val="center"/>
        </w:trPr>
        <w:tc>
          <w:tcPr>
            <w:tcW w:w="316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3067845E" w14:textId="01A016A1" w:rsidR="00674925" w:rsidRPr="00F00187" w:rsidRDefault="00674925" w:rsidP="0067492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74925">
              <w:rPr>
                <w:rFonts w:cstheme="minorHAnsi"/>
                <w:color w:val="283772"/>
                <w:szCs w:val="24"/>
              </w:rPr>
              <w:t>Lufthansa</w:t>
            </w:r>
          </w:p>
        </w:tc>
        <w:tc>
          <w:tcPr>
            <w:tcW w:w="112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0E4DC98B" w14:textId="7F57460D" w:rsidR="00674925" w:rsidRPr="00F00187" w:rsidRDefault="00674925" w:rsidP="0067492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74925">
              <w:rPr>
                <w:rFonts w:cstheme="minorHAnsi"/>
                <w:color w:val="283772"/>
                <w:szCs w:val="24"/>
              </w:rPr>
              <w:t>3,47%</w:t>
            </w:r>
          </w:p>
        </w:tc>
      </w:tr>
      <w:tr w:rsidR="00674925" w:rsidRPr="00E401F0" w14:paraId="36FD41FE" w14:textId="77777777" w:rsidTr="00086DF6">
        <w:trPr>
          <w:trHeight w:val="317"/>
          <w:jc w:val="center"/>
        </w:trPr>
        <w:tc>
          <w:tcPr>
            <w:tcW w:w="3169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0DF9541E" w14:textId="615284CA" w:rsidR="00674925" w:rsidRPr="00F00187" w:rsidRDefault="00674925" w:rsidP="0067492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74925">
              <w:rPr>
                <w:rFonts w:cstheme="minorHAnsi"/>
                <w:color w:val="283772"/>
                <w:szCs w:val="24"/>
              </w:rPr>
              <w:t>KLM Royal Dutch Airlines</w:t>
            </w:r>
          </w:p>
        </w:tc>
        <w:tc>
          <w:tcPr>
            <w:tcW w:w="1122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311CBFF7" w14:textId="70E1749B" w:rsidR="00674925" w:rsidRPr="00F00187" w:rsidRDefault="00674925" w:rsidP="0067492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74925">
              <w:rPr>
                <w:rFonts w:cstheme="minorHAnsi"/>
                <w:color w:val="283772"/>
                <w:szCs w:val="24"/>
              </w:rPr>
              <w:t>1,96%</w:t>
            </w:r>
          </w:p>
        </w:tc>
      </w:tr>
      <w:tr w:rsidR="00674925" w:rsidRPr="00E401F0" w14:paraId="1291824F" w14:textId="77777777" w:rsidTr="00086DF6">
        <w:trPr>
          <w:trHeight w:val="317"/>
          <w:jc w:val="center"/>
        </w:trPr>
        <w:tc>
          <w:tcPr>
            <w:tcW w:w="316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CD99041" w14:textId="400166EA" w:rsidR="00674925" w:rsidRPr="00F00187" w:rsidRDefault="00674925" w:rsidP="0067492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74925">
              <w:rPr>
                <w:rFonts w:cstheme="minorHAnsi"/>
                <w:color w:val="283772"/>
                <w:szCs w:val="24"/>
              </w:rPr>
              <w:t>Buzz</w:t>
            </w:r>
          </w:p>
        </w:tc>
        <w:tc>
          <w:tcPr>
            <w:tcW w:w="112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317FE56E" w14:textId="3CB9DBCD" w:rsidR="00674925" w:rsidRPr="00F00187" w:rsidRDefault="00674925" w:rsidP="0067492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74925">
              <w:rPr>
                <w:rFonts w:cstheme="minorHAnsi"/>
                <w:color w:val="283772"/>
                <w:szCs w:val="24"/>
              </w:rPr>
              <w:t>1,65%</w:t>
            </w:r>
          </w:p>
        </w:tc>
      </w:tr>
      <w:tr w:rsidR="00674925" w:rsidRPr="00E401F0" w14:paraId="55693983" w14:textId="77777777" w:rsidTr="00086DF6">
        <w:trPr>
          <w:trHeight w:val="317"/>
          <w:jc w:val="center"/>
        </w:trPr>
        <w:tc>
          <w:tcPr>
            <w:tcW w:w="3169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7340BFE7" w14:textId="5AC8F9A5" w:rsidR="00674925" w:rsidRPr="00F00187" w:rsidRDefault="00674925" w:rsidP="0067492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74925">
              <w:rPr>
                <w:rFonts w:cstheme="minorHAnsi"/>
                <w:color w:val="283772"/>
                <w:szCs w:val="24"/>
              </w:rPr>
              <w:t>Pozostali</w:t>
            </w:r>
          </w:p>
        </w:tc>
        <w:tc>
          <w:tcPr>
            <w:tcW w:w="1122" w:type="dxa"/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160EEB65" w14:textId="064DE67C" w:rsidR="00674925" w:rsidRPr="00F00187" w:rsidRDefault="00674925" w:rsidP="0067492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674925">
              <w:rPr>
                <w:rFonts w:cstheme="minorHAnsi"/>
                <w:color w:val="283772"/>
                <w:szCs w:val="24"/>
              </w:rPr>
              <w:t>17,08%</w:t>
            </w:r>
          </w:p>
        </w:tc>
      </w:tr>
    </w:tbl>
    <w:p w14:paraId="26FA6EEB" w14:textId="44134C6A" w:rsidR="00211771" w:rsidRPr="00211771" w:rsidRDefault="00440432" w:rsidP="00071292">
      <w:pPr>
        <w:pStyle w:val="Legenda"/>
        <w:spacing w:after="840"/>
        <w:rPr>
          <w:noProof/>
        </w:rPr>
      </w:pPr>
      <w:bookmarkStart w:id="96" w:name="_Toc216787157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Udział w rynku wg liczby przewiezionych pasażerów</w:t>
      </w:r>
      <w:r w:rsidR="00E77874" w:rsidRPr="00E77874">
        <w:rPr>
          <w:noProof/>
        </w:rPr>
        <w:t xml:space="preserve"> </w:t>
      </w:r>
      <w:r w:rsidR="00E77874">
        <w:rPr>
          <w:noProof/>
        </w:rPr>
        <w:t>w ruchu międzynarodowym</w:t>
      </w:r>
      <w:bookmarkEnd w:id="96"/>
    </w:p>
    <w:p w14:paraId="0FB9084C" w14:textId="77777777" w:rsidR="002E4EA4" w:rsidRPr="00E401F0" w:rsidRDefault="00574DE0" w:rsidP="005A6434">
      <w:pPr>
        <w:pStyle w:val="Nagwek1"/>
      </w:pPr>
      <w:bookmarkStart w:id="97" w:name="_Toc178665062"/>
      <w:r w:rsidRPr="00E401F0">
        <w:lastRenderedPageBreak/>
        <w:t>Przewoźnicy – modele biznesowe</w:t>
      </w:r>
      <w:bookmarkEnd w:id="97"/>
    </w:p>
    <w:p w14:paraId="52FD18F0" w14:textId="2C93203B" w:rsidR="008327B1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</w:t>
      </w:r>
      <w:r w:rsidR="00165125">
        <w:rPr>
          <w:rFonts w:cstheme="minorHAnsi"/>
          <w:szCs w:val="24"/>
        </w:rPr>
        <w:t xml:space="preserve"> pierwszej połowie</w:t>
      </w:r>
      <w:r w:rsidRPr="00E401F0">
        <w:rPr>
          <w:rFonts w:cstheme="minorHAnsi"/>
          <w:szCs w:val="24"/>
        </w:rPr>
        <w:t xml:space="preserve"> </w:t>
      </w:r>
      <w:r w:rsidR="008327B1" w:rsidRPr="00E401F0">
        <w:rPr>
          <w:rFonts w:cstheme="minorHAnsi"/>
          <w:szCs w:val="24"/>
        </w:rPr>
        <w:t>202</w:t>
      </w:r>
      <w:r w:rsidR="008327B1">
        <w:rPr>
          <w:rFonts w:cstheme="minorHAnsi"/>
          <w:szCs w:val="24"/>
        </w:rPr>
        <w:t>5</w:t>
      </w:r>
      <w:r w:rsidR="008327B1" w:rsidRPr="00E401F0">
        <w:rPr>
          <w:rFonts w:cstheme="minorHAnsi"/>
          <w:szCs w:val="24"/>
        </w:rPr>
        <w:t xml:space="preserve"> </w:t>
      </w:r>
      <w:r w:rsidR="002E4EA4" w:rsidRPr="00E401F0">
        <w:rPr>
          <w:rFonts w:cstheme="minorHAnsi"/>
          <w:szCs w:val="24"/>
        </w:rPr>
        <w:t>roku w Polsce doszło do nieznacz</w:t>
      </w:r>
      <w:r w:rsidR="00EA13B7">
        <w:rPr>
          <w:rFonts w:cstheme="minorHAnsi"/>
          <w:szCs w:val="24"/>
        </w:rPr>
        <w:t>nej zmiany struktury udziałów w </w:t>
      </w:r>
      <w:r w:rsidR="002E4EA4" w:rsidRPr="00E401F0">
        <w:rPr>
          <w:rFonts w:cstheme="minorHAnsi"/>
          <w:szCs w:val="24"/>
        </w:rPr>
        <w:t xml:space="preserve">rynku </w:t>
      </w:r>
      <w:r w:rsidR="0014321F">
        <w:rPr>
          <w:rFonts w:cstheme="minorHAnsi"/>
          <w:szCs w:val="24"/>
        </w:rPr>
        <w:t xml:space="preserve">ruchu międzynarodowego </w:t>
      </w:r>
      <w:r w:rsidR="002E4EA4" w:rsidRPr="00E401F0">
        <w:rPr>
          <w:rFonts w:cstheme="minorHAnsi"/>
          <w:szCs w:val="24"/>
        </w:rPr>
        <w:t>ze względu na realizowany model bizn</w:t>
      </w:r>
      <w:r w:rsidR="00622B6E">
        <w:rPr>
          <w:rFonts w:cstheme="minorHAnsi"/>
          <w:szCs w:val="24"/>
        </w:rPr>
        <w:t>esowy przewoźnika lotniczego, w </w:t>
      </w:r>
      <w:r w:rsidR="002E4EA4" w:rsidRPr="00E401F0">
        <w:rPr>
          <w:rFonts w:cstheme="minorHAnsi"/>
          <w:szCs w:val="24"/>
        </w:rPr>
        <w:t xml:space="preserve">stosunku do </w:t>
      </w:r>
      <w:r w:rsidR="00165125">
        <w:rPr>
          <w:rFonts w:cstheme="minorHAnsi"/>
          <w:szCs w:val="24"/>
        </w:rPr>
        <w:t xml:space="preserve">analogicznego okresu </w:t>
      </w:r>
      <w:r w:rsidR="008327B1" w:rsidRPr="00E401F0">
        <w:rPr>
          <w:rFonts w:cstheme="minorHAnsi"/>
          <w:szCs w:val="24"/>
        </w:rPr>
        <w:t>202</w:t>
      </w:r>
      <w:r w:rsidR="008327B1">
        <w:rPr>
          <w:rFonts w:cstheme="minorHAnsi"/>
          <w:szCs w:val="24"/>
        </w:rPr>
        <w:t>4</w:t>
      </w:r>
      <w:r w:rsidR="008327B1" w:rsidRPr="0014321F">
        <w:rPr>
          <w:rFonts w:cstheme="minorHAnsi"/>
          <w:szCs w:val="24"/>
        </w:rPr>
        <w:t xml:space="preserve"> </w:t>
      </w:r>
      <w:r w:rsidR="0014321F" w:rsidRPr="00E401F0">
        <w:rPr>
          <w:rFonts w:cstheme="minorHAnsi"/>
          <w:szCs w:val="24"/>
        </w:rPr>
        <w:t>roku</w:t>
      </w:r>
      <w:r w:rsidR="002E4EA4" w:rsidRPr="00E401F0">
        <w:rPr>
          <w:rFonts w:cstheme="minorHAnsi"/>
          <w:szCs w:val="24"/>
        </w:rPr>
        <w:t xml:space="preserve">. </w:t>
      </w:r>
    </w:p>
    <w:p w14:paraId="48800933" w14:textId="64251BC3" w:rsidR="002E4EA4" w:rsidRDefault="003E4B33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="002E4EA4" w:rsidRPr="00E401F0">
        <w:rPr>
          <w:rFonts w:cstheme="minorHAnsi"/>
          <w:szCs w:val="24"/>
        </w:rPr>
        <w:t xml:space="preserve">rzewoźnicy sieciowi odnotowali wzrost w liczbie przewożonych pasażerów o </w:t>
      </w:r>
      <w:r>
        <w:rPr>
          <w:rFonts w:cstheme="minorHAnsi"/>
          <w:szCs w:val="24"/>
        </w:rPr>
        <w:t>1</w:t>
      </w:r>
      <w:r w:rsidR="008327B1">
        <w:rPr>
          <w:rFonts w:cstheme="minorHAnsi"/>
          <w:szCs w:val="24"/>
        </w:rPr>
        <w:t>2</w:t>
      </w:r>
      <w:r>
        <w:rPr>
          <w:rFonts w:cstheme="minorHAnsi"/>
          <w:szCs w:val="24"/>
        </w:rPr>
        <w:t>,3</w:t>
      </w:r>
      <w:r w:rsidR="00622B6E">
        <w:rPr>
          <w:rFonts w:cstheme="minorHAnsi"/>
          <w:szCs w:val="24"/>
        </w:rPr>
        <w:t>%, przewoźnicy niskokosztowi o </w:t>
      </w:r>
      <w:r w:rsidR="008327B1">
        <w:rPr>
          <w:rFonts w:cstheme="minorHAnsi"/>
          <w:szCs w:val="24"/>
        </w:rPr>
        <w:t>12,2</w:t>
      </w:r>
      <w:r w:rsidR="00EA13B7">
        <w:rPr>
          <w:rFonts w:cstheme="minorHAnsi"/>
          <w:szCs w:val="24"/>
        </w:rPr>
        <w:t>%, a </w:t>
      </w:r>
      <w:r w:rsidR="002E4EA4" w:rsidRPr="00E401F0">
        <w:rPr>
          <w:rFonts w:cstheme="minorHAnsi"/>
          <w:szCs w:val="24"/>
        </w:rPr>
        <w:t xml:space="preserve">przewoźnicy czarterowi odnotowali wzrost o </w:t>
      </w:r>
      <w:r w:rsidR="008327B1">
        <w:rPr>
          <w:rFonts w:cstheme="minorHAnsi"/>
          <w:szCs w:val="24"/>
        </w:rPr>
        <w:t>14</w:t>
      </w:r>
      <w:r w:rsidR="002E4EA4" w:rsidRPr="00E401F0">
        <w:rPr>
          <w:rFonts w:cstheme="minorHAnsi"/>
          <w:szCs w:val="24"/>
        </w:rPr>
        <w:t>%. W związku z tym udział w rynku prz</w:t>
      </w:r>
      <w:r w:rsidR="0014321F">
        <w:rPr>
          <w:rFonts w:cstheme="minorHAnsi"/>
          <w:szCs w:val="24"/>
        </w:rPr>
        <w:t>ewoźników sieciowych</w:t>
      </w:r>
      <w:r w:rsidR="00F418D5">
        <w:rPr>
          <w:rFonts w:cstheme="minorHAnsi"/>
          <w:szCs w:val="24"/>
        </w:rPr>
        <w:t xml:space="preserve"> i niskokosztowych</w:t>
      </w:r>
      <w:r w:rsidR="0014321F">
        <w:rPr>
          <w:rFonts w:cstheme="minorHAnsi"/>
          <w:szCs w:val="24"/>
        </w:rPr>
        <w:t xml:space="preserve"> </w:t>
      </w:r>
      <w:r w:rsidR="00F418D5">
        <w:rPr>
          <w:rFonts w:cstheme="minorHAnsi"/>
          <w:szCs w:val="24"/>
        </w:rPr>
        <w:t xml:space="preserve">nieznacznie spadł (o 0,1 punktu procentowego), a </w:t>
      </w:r>
      <w:r w:rsidR="004A11D9" w:rsidRPr="00E401F0">
        <w:rPr>
          <w:rFonts w:cstheme="minorHAnsi"/>
          <w:szCs w:val="24"/>
        </w:rPr>
        <w:t xml:space="preserve">przewoźników </w:t>
      </w:r>
      <w:r w:rsidR="0014321F">
        <w:rPr>
          <w:rFonts w:cstheme="minorHAnsi"/>
          <w:szCs w:val="24"/>
        </w:rPr>
        <w:t>czarterowych</w:t>
      </w:r>
      <w:r w:rsidR="004A11D9" w:rsidRPr="00E401F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wzrósł o 0,</w:t>
      </w:r>
      <w:r w:rsidR="00F418D5">
        <w:rPr>
          <w:rFonts w:cstheme="minorHAnsi"/>
          <w:szCs w:val="24"/>
        </w:rPr>
        <w:t>1</w:t>
      </w:r>
      <w:r>
        <w:rPr>
          <w:rFonts w:cstheme="minorHAnsi"/>
          <w:szCs w:val="24"/>
        </w:rPr>
        <w:t xml:space="preserve"> punktu procentowego</w:t>
      </w:r>
      <w:r w:rsidR="004A11D9" w:rsidRPr="00E401F0">
        <w:rPr>
          <w:rFonts w:cstheme="minorHAnsi"/>
          <w:szCs w:val="24"/>
        </w:rPr>
        <w:t>.</w:t>
      </w:r>
      <w:r w:rsidR="002E4EA4" w:rsidRPr="00E401F0">
        <w:rPr>
          <w:rFonts w:cstheme="minorHAnsi"/>
          <w:szCs w:val="24"/>
        </w:rPr>
        <w:t xml:space="preserve"> Względem </w:t>
      </w:r>
      <w:r>
        <w:rPr>
          <w:rFonts w:cstheme="minorHAnsi"/>
          <w:szCs w:val="24"/>
        </w:rPr>
        <w:t xml:space="preserve">pierwszego półrocza </w:t>
      </w:r>
      <w:r w:rsidR="009162B4">
        <w:rPr>
          <w:rFonts w:cstheme="minorHAnsi"/>
          <w:szCs w:val="24"/>
        </w:rPr>
        <w:t xml:space="preserve">2023 </w:t>
      </w:r>
      <w:r w:rsidRPr="00E401F0">
        <w:rPr>
          <w:rFonts w:cstheme="minorHAnsi"/>
          <w:szCs w:val="24"/>
        </w:rPr>
        <w:t xml:space="preserve">roku </w:t>
      </w:r>
      <w:r w:rsidR="002E4EA4" w:rsidRPr="00E401F0">
        <w:rPr>
          <w:rFonts w:cstheme="minorHAnsi"/>
          <w:szCs w:val="24"/>
        </w:rPr>
        <w:t xml:space="preserve">przewoźnicy sieciowi odnotowali </w:t>
      </w:r>
      <w:r>
        <w:rPr>
          <w:rFonts w:cstheme="minorHAnsi"/>
          <w:szCs w:val="24"/>
        </w:rPr>
        <w:t>wzrost</w:t>
      </w:r>
      <w:r w:rsidR="002E4EA4" w:rsidRPr="00E401F0">
        <w:rPr>
          <w:rFonts w:cstheme="minorHAnsi"/>
          <w:szCs w:val="24"/>
        </w:rPr>
        <w:t xml:space="preserve"> </w:t>
      </w:r>
      <w:r w:rsidR="00622B6E">
        <w:rPr>
          <w:rFonts w:cstheme="minorHAnsi"/>
          <w:szCs w:val="24"/>
        </w:rPr>
        <w:t xml:space="preserve">w ruchu międzynarodowym </w:t>
      </w:r>
      <w:r w:rsidR="002E4EA4" w:rsidRPr="00E401F0">
        <w:rPr>
          <w:rFonts w:cstheme="minorHAnsi"/>
          <w:szCs w:val="24"/>
        </w:rPr>
        <w:t xml:space="preserve">o </w:t>
      </w:r>
      <w:r w:rsidR="009162B4">
        <w:rPr>
          <w:rFonts w:cstheme="minorHAnsi"/>
          <w:szCs w:val="24"/>
        </w:rPr>
        <w:t>31,7</w:t>
      </w:r>
      <w:r w:rsidR="002E4EA4" w:rsidRPr="00E401F0">
        <w:rPr>
          <w:rFonts w:cstheme="minorHAnsi"/>
          <w:szCs w:val="24"/>
        </w:rPr>
        <w:t>%, a przewoźnicy niskokosztowi i czarterowi odnotowali wzrosty</w:t>
      </w:r>
      <w:r w:rsidR="00B35E70" w:rsidRPr="00E401F0">
        <w:rPr>
          <w:rFonts w:cstheme="minorHAnsi"/>
          <w:szCs w:val="24"/>
        </w:rPr>
        <w:t xml:space="preserve"> </w:t>
      </w:r>
      <w:r w:rsidR="00622B6E">
        <w:rPr>
          <w:rFonts w:cstheme="minorHAnsi"/>
          <w:szCs w:val="24"/>
        </w:rPr>
        <w:t>o </w:t>
      </w:r>
      <w:r w:rsidR="002E4EA4" w:rsidRPr="00E401F0">
        <w:rPr>
          <w:rFonts w:cstheme="minorHAnsi"/>
          <w:szCs w:val="24"/>
        </w:rPr>
        <w:t xml:space="preserve">odpowiednio </w:t>
      </w:r>
      <w:r w:rsidR="009162B4">
        <w:rPr>
          <w:rFonts w:cstheme="minorHAnsi"/>
          <w:szCs w:val="24"/>
        </w:rPr>
        <w:t>28,4</w:t>
      </w:r>
      <w:r w:rsidR="002E4EA4" w:rsidRPr="00E401F0">
        <w:rPr>
          <w:rFonts w:cstheme="minorHAnsi"/>
          <w:szCs w:val="24"/>
        </w:rPr>
        <w:t xml:space="preserve">% i </w:t>
      </w:r>
      <w:r w:rsidR="009162B4">
        <w:rPr>
          <w:rFonts w:cstheme="minorHAnsi"/>
          <w:szCs w:val="24"/>
        </w:rPr>
        <w:t>42</w:t>
      </w:r>
      <w:r w:rsidR="002610D2">
        <w:rPr>
          <w:rFonts w:cstheme="minorHAnsi"/>
          <w:szCs w:val="24"/>
        </w:rPr>
        <w:t>,1</w:t>
      </w:r>
      <w:r w:rsidR="002E4EA4" w:rsidRPr="00E401F0">
        <w:rPr>
          <w:rFonts w:cstheme="minorHAnsi"/>
          <w:szCs w:val="24"/>
        </w:rPr>
        <w:t>%.</w:t>
      </w:r>
    </w:p>
    <w:p w14:paraId="72EDCF34" w14:textId="77777777" w:rsidR="006E7D6D" w:rsidRDefault="006E7D6D" w:rsidP="006E7D6D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39E2FEC4" wp14:editId="748453DB">
            <wp:extent cx="5754676" cy="2880000"/>
            <wp:effectExtent l="0" t="0" r="0" b="0"/>
            <wp:docPr id="81" name="Wykres 81" descr="Wykres przedstawia udział przewozów międzynarodowych w podziale na modele biznesowe, tj. na przewoźników sieciowych, niskokosztowych i czarterowych w minionych kwartałach z uwzględnieniem analogicznych okresów z poprzednich 2 lat. Dane przedstawione w Tabeli 21.1 poniżej." title="Wykres 21.2 Udział w rynku ruchu międzynarodowego wg. modelu biznesow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4D06FC79" w14:textId="42784307" w:rsidR="006E7D6D" w:rsidRPr="00E401F0" w:rsidRDefault="006E7D6D" w:rsidP="00086DF6">
      <w:pPr>
        <w:pStyle w:val="Legenda"/>
        <w:rPr>
          <w:rFonts w:cstheme="minorHAnsi"/>
          <w:szCs w:val="24"/>
        </w:rPr>
      </w:pPr>
      <w:bookmarkStart w:id="98" w:name="_Toc219462813"/>
      <w:r w:rsidRPr="006E7D6D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21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6E7D6D">
        <w:rPr>
          <w:noProof/>
        </w:rPr>
        <w:t xml:space="preserve"> </w:t>
      </w:r>
      <w:r w:rsidR="001B72F1" w:rsidRPr="001B72F1">
        <w:rPr>
          <w:noProof/>
        </w:rPr>
        <w:t xml:space="preserve">Udział w rynku ruchu międzynarodowego wg. modelu biznesowego – wykres przedstawia udział przewozów międzynarodowych w podziale na modele biznesowe, tj. na przewoźników sieciowych, niskokosztowych i czarterowych w pierwszej połowie 2025 roku wraz z uwzględnieniem </w:t>
      </w:r>
      <w:r w:rsidR="001B72F1" w:rsidRPr="00086DF6">
        <w:rPr>
          <w:iCs w:val="0"/>
          <w:szCs w:val="22"/>
        </w:rPr>
        <w:t>lat</w:t>
      </w:r>
      <w:r w:rsidR="001B72F1" w:rsidRPr="001B72F1">
        <w:rPr>
          <w:noProof/>
        </w:rPr>
        <w:t xml:space="preserve"> 2024 i 2023</w:t>
      </w:r>
      <w:bookmarkEnd w:id="98"/>
    </w:p>
    <w:tbl>
      <w:tblPr>
        <w:tblW w:w="708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1.1 Udział w rynku wg modelu biznesowego "/>
        <w:tblDescription w:val="Tabela przedstawia udział przewozów w podziale na modele biznesowe, tj. na przewoźników sieciowych, niskokosztowych i czarterowych w minionych kwartałach z uwzględnieniem analogicznych okresów z poprzednich 2 lat. "/>
      </w:tblPr>
      <w:tblGrid>
        <w:gridCol w:w="1765"/>
        <w:gridCol w:w="1769"/>
        <w:gridCol w:w="1775"/>
        <w:gridCol w:w="1771"/>
      </w:tblGrid>
      <w:tr w:rsidR="004A11D9" w:rsidRPr="00E401F0" w14:paraId="296DC6C0" w14:textId="77777777" w:rsidTr="00086DF6">
        <w:trPr>
          <w:trHeight w:val="317"/>
          <w:tblHeader/>
          <w:jc w:val="center"/>
        </w:trPr>
        <w:tc>
          <w:tcPr>
            <w:tcW w:w="1765" w:type="dxa"/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20108CBE" w14:textId="77777777"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Rok</w:t>
            </w:r>
          </w:p>
        </w:tc>
        <w:tc>
          <w:tcPr>
            <w:tcW w:w="1769" w:type="dxa"/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5F4263F" w14:textId="77777777"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Sieciowi</w:t>
            </w:r>
          </w:p>
        </w:tc>
        <w:tc>
          <w:tcPr>
            <w:tcW w:w="1775" w:type="dxa"/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26C14D4" w14:textId="77777777"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Niskokosztowi</w:t>
            </w:r>
          </w:p>
        </w:tc>
        <w:tc>
          <w:tcPr>
            <w:tcW w:w="1771" w:type="dxa"/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767EFF8" w14:textId="77777777"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Czarterowi</w:t>
            </w:r>
          </w:p>
        </w:tc>
      </w:tr>
      <w:tr w:rsidR="00F00187" w:rsidRPr="00E401F0" w14:paraId="7F564A3C" w14:textId="77777777" w:rsidTr="00086DF6">
        <w:trPr>
          <w:trHeight w:val="317"/>
          <w:jc w:val="center"/>
        </w:trPr>
        <w:tc>
          <w:tcPr>
            <w:tcW w:w="1765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36E7C6D" w14:textId="77777777" w:rsidR="00F00187" w:rsidRPr="00F00187" w:rsidRDefault="00D537A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2025</w:t>
            </w:r>
          </w:p>
        </w:tc>
        <w:tc>
          <w:tcPr>
            <w:tcW w:w="1769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0A86924" w14:textId="77777777" w:rsidR="00F00187" w:rsidRPr="00F00187" w:rsidRDefault="00D502E4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30,3</w:t>
            </w:r>
            <w:r w:rsidR="00F00187"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  <w:tc>
          <w:tcPr>
            <w:tcW w:w="1775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07D67A8D" w14:textId="77777777" w:rsidR="00F00187" w:rsidRPr="00F00187" w:rsidRDefault="00D502E4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58,7</w:t>
            </w:r>
            <w:r w:rsidR="00F00187"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  <w:tc>
          <w:tcPr>
            <w:tcW w:w="1771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A281910" w14:textId="77777777" w:rsidR="00F00187" w:rsidRPr="00F00187" w:rsidRDefault="00D537A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10,9</w:t>
            </w:r>
            <w:r w:rsidR="00F00187"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F00187" w:rsidRPr="00E401F0" w14:paraId="4ABAF3D1" w14:textId="77777777" w:rsidTr="00086DF6">
        <w:trPr>
          <w:trHeight w:val="317"/>
          <w:jc w:val="center"/>
        </w:trPr>
        <w:tc>
          <w:tcPr>
            <w:tcW w:w="1765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2C6ACE51" w14:textId="77777777" w:rsidR="00F00187" w:rsidRPr="00F00187" w:rsidRDefault="00D537A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76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879D045" w14:textId="77777777" w:rsidR="00F00187" w:rsidRPr="00F00187" w:rsidRDefault="00D537A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30,4</w:t>
            </w:r>
            <w:r w:rsidR="00F00187"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  <w:tc>
          <w:tcPr>
            <w:tcW w:w="1775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437AE8D" w14:textId="77777777" w:rsidR="00F00187" w:rsidRPr="00F00187" w:rsidRDefault="00D537A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58</w:t>
            </w:r>
            <w:r w:rsidR="00F00187" w:rsidRPr="00F00187">
              <w:rPr>
                <w:rFonts w:cstheme="minorHAnsi"/>
                <w:color w:val="283772"/>
                <w:szCs w:val="24"/>
              </w:rPr>
              <w:t>,8%</w:t>
            </w:r>
          </w:p>
        </w:tc>
        <w:tc>
          <w:tcPr>
            <w:tcW w:w="1771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73015A4" w14:textId="77777777" w:rsidR="00F00187" w:rsidRPr="00F00187" w:rsidRDefault="00D537A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10,8</w:t>
            </w:r>
            <w:r w:rsidR="00F00187"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F00187" w:rsidRPr="00E401F0" w14:paraId="7EC35662" w14:textId="77777777" w:rsidTr="00086DF6">
        <w:trPr>
          <w:trHeight w:val="317"/>
          <w:jc w:val="center"/>
        </w:trPr>
        <w:tc>
          <w:tcPr>
            <w:tcW w:w="1765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01287E75" w14:textId="77777777" w:rsidR="00F00187" w:rsidRPr="00F00187" w:rsidRDefault="00D537A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769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098806B4" w14:textId="77777777" w:rsidR="00F00187" w:rsidRPr="00F00187" w:rsidRDefault="00D537A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30,1</w:t>
            </w:r>
            <w:r w:rsidR="00F00187"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  <w:tc>
          <w:tcPr>
            <w:tcW w:w="1775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275E3B6" w14:textId="77777777" w:rsidR="00F00187" w:rsidRPr="00F00187" w:rsidRDefault="00D502E4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59,8</w:t>
            </w:r>
            <w:r w:rsidR="00F00187"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  <w:tc>
          <w:tcPr>
            <w:tcW w:w="1771" w:type="dxa"/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FAD8490" w14:textId="77777777" w:rsidR="00F00187" w:rsidRPr="00F00187" w:rsidRDefault="00D537A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10,1</w:t>
            </w:r>
            <w:r w:rsidR="00F00187"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</w:tr>
    </w:tbl>
    <w:p w14:paraId="26D5F825" w14:textId="77777777" w:rsidR="00C95454" w:rsidRPr="00E401F0" w:rsidRDefault="00C95454" w:rsidP="00CB0FF8">
      <w:pPr>
        <w:pStyle w:val="Legenda"/>
        <w:rPr>
          <w:noProof/>
        </w:rPr>
      </w:pPr>
      <w:bookmarkStart w:id="99" w:name="_Toc216787158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21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Udział w rynku</w:t>
      </w:r>
      <w:r w:rsidR="00F27BCD" w:rsidRPr="00F27BCD">
        <w:rPr>
          <w:noProof/>
        </w:rPr>
        <w:t xml:space="preserve"> </w:t>
      </w:r>
      <w:r w:rsidR="00F27BCD">
        <w:rPr>
          <w:noProof/>
        </w:rPr>
        <w:t>ruchu międzynarodowego</w:t>
      </w:r>
      <w:r w:rsidRPr="00E401F0">
        <w:rPr>
          <w:noProof/>
        </w:rPr>
        <w:t xml:space="preserve"> wg modelu biznesowego</w:t>
      </w:r>
      <w:bookmarkEnd w:id="99"/>
      <w:r w:rsidR="00CB0FF8" w:rsidRPr="00E401F0">
        <w:rPr>
          <w:noProof/>
        </w:rPr>
        <w:br w:type="page"/>
      </w:r>
    </w:p>
    <w:p w14:paraId="799D77BC" w14:textId="77777777" w:rsidR="002E4EA4" w:rsidRPr="00E401F0" w:rsidRDefault="00574DE0" w:rsidP="005A6434">
      <w:pPr>
        <w:pStyle w:val="Nagwek1"/>
      </w:pPr>
      <w:bookmarkStart w:id="100" w:name="_Toc178665063"/>
      <w:r w:rsidRPr="00E401F0">
        <w:lastRenderedPageBreak/>
        <w:t>Porównanie przewozów LCC i sieciowych</w:t>
      </w:r>
      <w:bookmarkEnd w:id="100"/>
    </w:p>
    <w:p w14:paraId="29074E66" w14:textId="018BD7B4"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Najwięcej pasażerów</w:t>
      </w:r>
      <w:r w:rsidR="008F2D62">
        <w:rPr>
          <w:rFonts w:cstheme="minorHAnsi"/>
          <w:szCs w:val="24"/>
        </w:rPr>
        <w:t xml:space="preserve"> w ruchu międzynarodowym</w:t>
      </w:r>
      <w:r w:rsidRPr="00E401F0">
        <w:rPr>
          <w:rFonts w:cstheme="minorHAnsi"/>
          <w:szCs w:val="24"/>
        </w:rPr>
        <w:t xml:space="preserve"> wśród przewoźników niskokosztowych </w:t>
      </w:r>
      <w:r w:rsidR="008F2D62">
        <w:rPr>
          <w:rFonts w:cstheme="minorHAnsi"/>
          <w:szCs w:val="24"/>
        </w:rPr>
        <w:t>w </w:t>
      </w:r>
      <w:r w:rsidR="003E4B33">
        <w:rPr>
          <w:rFonts w:cstheme="minorHAnsi"/>
          <w:szCs w:val="24"/>
        </w:rPr>
        <w:t xml:space="preserve">pierwszej połowie </w:t>
      </w:r>
      <w:r w:rsidR="00F418D5" w:rsidRPr="00E401F0">
        <w:rPr>
          <w:rFonts w:cstheme="minorHAnsi"/>
          <w:szCs w:val="24"/>
        </w:rPr>
        <w:t>202</w:t>
      </w:r>
      <w:r w:rsidR="00F418D5">
        <w:rPr>
          <w:rFonts w:cstheme="minorHAnsi"/>
          <w:szCs w:val="24"/>
        </w:rPr>
        <w:t>5</w:t>
      </w:r>
      <w:r w:rsidR="00F418D5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roku przewiózł Ryanair (</w:t>
      </w:r>
      <w:r w:rsidR="003E4B33">
        <w:rPr>
          <w:rFonts w:cstheme="minorHAnsi"/>
          <w:szCs w:val="24"/>
        </w:rPr>
        <w:t>8,</w:t>
      </w:r>
      <w:r w:rsidR="00F418D5">
        <w:rPr>
          <w:rFonts w:cstheme="minorHAnsi"/>
          <w:szCs w:val="24"/>
        </w:rPr>
        <w:t>9</w:t>
      </w:r>
      <w:r w:rsidRPr="00E401F0">
        <w:rPr>
          <w:rFonts w:cstheme="minorHAnsi"/>
          <w:szCs w:val="24"/>
        </w:rPr>
        <w:t xml:space="preserve"> mln pasażerów, o </w:t>
      </w:r>
      <w:r w:rsidR="00F418D5">
        <w:rPr>
          <w:rFonts w:cstheme="minorHAnsi"/>
          <w:szCs w:val="24"/>
        </w:rPr>
        <w:t>682,1</w:t>
      </w:r>
      <w:r w:rsidR="003E4B33">
        <w:rPr>
          <w:rFonts w:cstheme="minorHAnsi"/>
          <w:szCs w:val="24"/>
        </w:rPr>
        <w:t xml:space="preserve"> tys.</w:t>
      </w:r>
      <w:r w:rsidRPr="00E401F0">
        <w:rPr>
          <w:rFonts w:cstheme="minorHAnsi"/>
          <w:szCs w:val="24"/>
        </w:rPr>
        <w:t xml:space="preserve"> więcej niż w </w:t>
      </w:r>
      <w:r w:rsidR="003E4B33">
        <w:rPr>
          <w:rFonts w:cstheme="minorHAnsi"/>
          <w:szCs w:val="24"/>
        </w:rPr>
        <w:t xml:space="preserve">analogicznym okresie </w:t>
      </w:r>
      <w:r w:rsidR="00F418D5" w:rsidRPr="00E401F0">
        <w:rPr>
          <w:rFonts w:cstheme="minorHAnsi"/>
          <w:szCs w:val="24"/>
        </w:rPr>
        <w:t>202</w:t>
      </w:r>
      <w:r w:rsidR="00F418D5">
        <w:rPr>
          <w:rFonts w:cstheme="minorHAnsi"/>
          <w:szCs w:val="24"/>
        </w:rPr>
        <w:t>4</w:t>
      </w:r>
      <w:r w:rsidR="00F418D5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r</w:t>
      </w:r>
      <w:r w:rsidR="008F2D62">
        <w:rPr>
          <w:rFonts w:cstheme="minorHAnsi"/>
          <w:szCs w:val="24"/>
        </w:rPr>
        <w:t>oku</w:t>
      </w:r>
      <w:r w:rsidRPr="00E401F0">
        <w:rPr>
          <w:rFonts w:cstheme="minorHAnsi"/>
          <w:szCs w:val="24"/>
        </w:rPr>
        <w:t xml:space="preserve">). W dalszej kolejności </w:t>
      </w:r>
      <w:r w:rsidR="009162B4">
        <w:rPr>
          <w:rFonts w:cstheme="minorHAnsi"/>
          <w:szCs w:val="24"/>
        </w:rPr>
        <w:t xml:space="preserve">był </w:t>
      </w:r>
      <w:r w:rsidR="00D73519">
        <w:rPr>
          <w:rFonts w:cstheme="minorHAnsi"/>
          <w:szCs w:val="24"/>
        </w:rPr>
        <w:t>to</w:t>
      </w:r>
      <w:r w:rsidR="00D73519" w:rsidRPr="00E401F0">
        <w:rPr>
          <w:rFonts w:cstheme="minorHAnsi"/>
          <w:szCs w:val="24"/>
        </w:rPr>
        <w:t xml:space="preserve"> Wizz</w:t>
      </w:r>
      <w:r w:rsidRPr="00E401F0">
        <w:rPr>
          <w:rFonts w:cstheme="minorHAnsi"/>
          <w:szCs w:val="24"/>
        </w:rPr>
        <w:t xml:space="preserve"> Air (</w:t>
      </w:r>
      <w:r w:rsidR="00F418D5">
        <w:rPr>
          <w:rFonts w:cstheme="minorHAnsi"/>
          <w:szCs w:val="24"/>
        </w:rPr>
        <w:t>6,1</w:t>
      </w:r>
      <w:r w:rsidR="003E4B33">
        <w:rPr>
          <w:rFonts w:cstheme="minorHAnsi"/>
          <w:szCs w:val="24"/>
        </w:rPr>
        <w:t xml:space="preserve"> mln pasażerów, +</w:t>
      </w:r>
      <w:r w:rsidR="00F418D5">
        <w:rPr>
          <w:rFonts w:cstheme="minorHAnsi"/>
          <w:szCs w:val="24"/>
        </w:rPr>
        <w:t>836,8</w:t>
      </w:r>
      <w:r w:rsidR="003E4B33">
        <w:rPr>
          <w:rFonts w:cstheme="minorHAnsi"/>
          <w:szCs w:val="24"/>
        </w:rPr>
        <w:t xml:space="preserve"> tys.</w:t>
      </w:r>
      <w:r w:rsidRPr="00E401F0">
        <w:rPr>
          <w:rFonts w:cstheme="minorHAnsi"/>
          <w:szCs w:val="24"/>
        </w:rPr>
        <w:t xml:space="preserve"> </w:t>
      </w:r>
      <w:r w:rsidR="003E4B33">
        <w:rPr>
          <w:rFonts w:cstheme="minorHAnsi"/>
          <w:szCs w:val="24"/>
        </w:rPr>
        <w:t>do</w:t>
      </w:r>
      <w:r w:rsidRPr="00E401F0">
        <w:rPr>
          <w:rFonts w:cstheme="minorHAnsi"/>
          <w:szCs w:val="24"/>
        </w:rPr>
        <w:t xml:space="preserve"> </w:t>
      </w:r>
      <w:r w:rsidR="00F418D5" w:rsidRPr="00E401F0">
        <w:rPr>
          <w:rFonts w:cstheme="minorHAnsi"/>
          <w:szCs w:val="24"/>
        </w:rPr>
        <w:t>202</w:t>
      </w:r>
      <w:r w:rsidR="00F418D5">
        <w:rPr>
          <w:rFonts w:cstheme="minorHAnsi"/>
          <w:szCs w:val="24"/>
        </w:rPr>
        <w:t>4</w:t>
      </w:r>
      <w:r w:rsidR="00F418D5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roku), a następnie </w:t>
      </w:r>
      <w:r w:rsidR="00F418D5">
        <w:rPr>
          <w:rFonts w:cstheme="minorHAnsi"/>
          <w:szCs w:val="24"/>
        </w:rPr>
        <w:t>easyJet</w:t>
      </w:r>
      <w:r w:rsidR="00F418D5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(</w:t>
      </w:r>
      <w:r w:rsidR="00F418D5">
        <w:rPr>
          <w:rFonts w:cstheme="minorHAnsi"/>
          <w:szCs w:val="24"/>
        </w:rPr>
        <w:t>311,8</w:t>
      </w:r>
      <w:r w:rsidRPr="00E401F0">
        <w:rPr>
          <w:rFonts w:cstheme="minorHAnsi"/>
          <w:szCs w:val="24"/>
        </w:rPr>
        <w:t xml:space="preserve"> tys. pasażerów, +</w:t>
      </w:r>
      <w:r w:rsidR="00F418D5">
        <w:rPr>
          <w:rFonts w:cstheme="minorHAnsi"/>
          <w:szCs w:val="24"/>
        </w:rPr>
        <w:t xml:space="preserve">60 </w:t>
      </w:r>
      <w:r w:rsidR="003E4B33">
        <w:rPr>
          <w:rFonts w:cstheme="minorHAnsi"/>
          <w:szCs w:val="24"/>
        </w:rPr>
        <w:t xml:space="preserve">tys. do </w:t>
      </w:r>
      <w:r w:rsidR="00F418D5">
        <w:rPr>
          <w:rFonts w:cstheme="minorHAnsi"/>
          <w:szCs w:val="24"/>
        </w:rPr>
        <w:t xml:space="preserve">2024 </w:t>
      </w:r>
      <w:r w:rsidR="003E4B33">
        <w:rPr>
          <w:rFonts w:cstheme="minorHAnsi"/>
          <w:szCs w:val="24"/>
        </w:rPr>
        <w:t>roku</w:t>
      </w:r>
      <w:r w:rsidRPr="00E401F0">
        <w:rPr>
          <w:rFonts w:cstheme="minorHAnsi"/>
          <w:szCs w:val="24"/>
        </w:rPr>
        <w:t xml:space="preserve">).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najwi</w:t>
      </w:r>
      <w:r w:rsidR="008F2D62">
        <w:rPr>
          <w:rFonts w:cstheme="minorHAnsi"/>
          <w:szCs w:val="24"/>
        </w:rPr>
        <w:t>ęcej pasażerów obsłużyli przewoźnicy</w:t>
      </w:r>
      <w:r w:rsidRPr="00E401F0">
        <w:rPr>
          <w:rFonts w:cstheme="minorHAnsi"/>
          <w:szCs w:val="24"/>
        </w:rPr>
        <w:t xml:space="preserve"> Ryanair (</w:t>
      </w:r>
      <w:r w:rsidR="00F418D5">
        <w:rPr>
          <w:rFonts w:cstheme="minorHAnsi"/>
          <w:szCs w:val="24"/>
        </w:rPr>
        <w:t>5,3</w:t>
      </w:r>
      <w:r w:rsidRPr="00E401F0">
        <w:rPr>
          <w:rFonts w:cstheme="minorHAnsi"/>
          <w:szCs w:val="24"/>
        </w:rPr>
        <w:t xml:space="preserve"> mln), a następnie Wizz Air (</w:t>
      </w:r>
      <w:r w:rsidR="00F418D5">
        <w:rPr>
          <w:rFonts w:cstheme="minorHAnsi"/>
          <w:szCs w:val="24"/>
        </w:rPr>
        <w:t>3,3</w:t>
      </w:r>
      <w:r w:rsidR="00AB3727" w:rsidRPr="00E401F0">
        <w:rPr>
          <w:rFonts w:cstheme="minorHAnsi"/>
          <w:szCs w:val="24"/>
        </w:rPr>
        <w:t xml:space="preserve"> mln) i Norwegian (</w:t>
      </w:r>
      <w:r w:rsidR="00F418D5">
        <w:rPr>
          <w:rFonts w:cstheme="minorHAnsi"/>
          <w:szCs w:val="24"/>
        </w:rPr>
        <w:t>195,9</w:t>
      </w:r>
      <w:r w:rsidRPr="00E401F0">
        <w:rPr>
          <w:rFonts w:cstheme="minorHAnsi"/>
          <w:szCs w:val="24"/>
        </w:rPr>
        <w:t xml:space="preserve"> tys.).</w:t>
      </w:r>
    </w:p>
    <w:p w14:paraId="18577680" w14:textId="5D088E09"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przypadku przewoźników sieciowych zarówno </w:t>
      </w:r>
      <w:r w:rsidR="00FD7200" w:rsidRPr="00E401F0">
        <w:rPr>
          <w:rFonts w:cstheme="minorHAnsi"/>
          <w:szCs w:val="24"/>
        </w:rPr>
        <w:t xml:space="preserve">w </w:t>
      </w:r>
      <w:r w:rsidR="005C4E95">
        <w:rPr>
          <w:rFonts w:cstheme="minorHAnsi"/>
          <w:szCs w:val="24"/>
        </w:rPr>
        <w:t>pierwszym półroczu</w:t>
      </w:r>
      <w:r w:rsidR="00EA13B7">
        <w:rPr>
          <w:rFonts w:cstheme="minorHAnsi"/>
          <w:szCs w:val="24"/>
        </w:rPr>
        <w:t>, jak i w </w:t>
      </w:r>
      <w:r w:rsidR="005C4E95">
        <w:rPr>
          <w:rFonts w:cstheme="minorHAnsi"/>
          <w:szCs w:val="24"/>
        </w:rPr>
        <w:t xml:space="preserve">samym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</w:t>
      </w:r>
      <w:r w:rsidR="009162B4">
        <w:rPr>
          <w:rFonts w:cstheme="minorHAnsi"/>
          <w:szCs w:val="24"/>
        </w:rPr>
        <w:t xml:space="preserve">2025 roku </w:t>
      </w:r>
      <w:r w:rsidRPr="00E401F0">
        <w:rPr>
          <w:rFonts w:cstheme="minorHAnsi"/>
          <w:szCs w:val="24"/>
        </w:rPr>
        <w:t>najwięcej pasażerów</w:t>
      </w:r>
      <w:r w:rsidR="001D2C4A">
        <w:rPr>
          <w:rFonts w:cstheme="minorHAnsi"/>
          <w:szCs w:val="24"/>
        </w:rPr>
        <w:t xml:space="preserve"> w ruchu międzynarodowym</w:t>
      </w:r>
      <w:r w:rsidRPr="00E401F0">
        <w:rPr>
          <w:rFonts w:cstheme="minorHAnsi"/>
          <w:szCs w:val="24"/>
        </w:rPr>
        <w:t xml:space="preserve"> </w:t>
      </w:r>
      <w:r w:rsidR="001D2C4A">
        <w:rPr>
          <w:rFonts w:cstheme="minorHAnsi"/>
          <w:szCs w:val="24"/>
        </w:rPr>
        <w:t xml:space="preserve">przewiózł PLL LOT. Przewoźnik </w:t>
      </w:r>
      <w:r w:rsidRPr="00E401F0">
        <w:rPr>
          <w:rFonts w:cstheme="minorHAnsi"/>
          <w:szCs w:val="24"/>
        </w:rPr>
        <w:t xml:space="preserve">obsłużył </w:t>
      </w:r>
      <w:r w:rsidR="001D2C4A">
        <w:rPr>
          <w:rFonts w:cstheme="minorHAnsi"/>
          <w:szCs w:val="24"/>
        </w:rPr>
        <w:t xml:space="preserve">w </w:t>
      </w:r>
      <w:r w:rsidR="005C4E95">
        <w:rPr>
          <w:rFonts w:cstheme="minorHAnsi"/>
          <w:szCs w:val="24"/>
        </w:rPr>
        <w:t xml:space="preserve">pierwszej połowie </w:t>
      </w:r>
      <w:r w:rsidR="00F418D5">
        <w:rPr>
          <w:rFonts w:cstheme="minorHAnsi"/>
          <w:szCs w:val="24"/>
        </w:rPr>
        <w:t xml:space="preserve">2025 </w:t>
      </w:r>
      <w:r w:rsidR="001D2C4A">
        <w:rPr>
          <w:rFonts w:cstheme="minorHAnsi"/>
          <w:szCs w:val="24"/>
        </w:rPr>
        <w:t xml:space="preserve">roku </w:t>
      </w:r>
      <w:r w:rsidR="005C4E95">
        <w:rPr>
          <w:rFonts w:cstheme="minorHAnsi"/>
          <w:szCs w:val="24"/>
        </w:rPr>
        <w:t>4,</w:t>
      </w:r>
      <w:r w:rsidR="00F418D5">
        <w:rPr>
          <w:rFonts w:cstheme="minorHAnsi"/>
          <w:szCs w:val="24"/>
        </w:rPr>
        <w:t>6</w:t>
      </w:r>
      <w:r w:rsidR="00EA13B7">
        <w:rPr>
          <w:rFonts w:cstheme="minorHAnsi"/>
          <w:szCs w:val="24"/>
        </w:rPr>
        <w:t xml:space="preserve"> mln pasażerów,</w:t>
      </w:r>
      <w:r w:rsidR="001E017F">
        <w:rPr>
          <w:rFonts w:cstheme="minorHAnsi"/>
          <w:szCs w:val="24"/>
        </w:rPr>
        <w:t xml:space="preserve"> czyli o</w:t>
      </w:r>
      <w:r w:rsidR="00EA13B7">
        <w:rPr>
          <w:rFonts w:cstheme="minorHAnsi"/>
          <w:szCs w:val="24"/>
        </w:rPr>
        <w:t> </w:t>
      </w:r>
      <w:r w:rsidR="00F418D5">
        <w:rPr>
          <w:rFonts w:cstheme="minorHAnsi"/>
          <w:szCs w:val="24"/>
        </w:rPr>
        <w:t>514</w:t>
      </w:r>
      <w:r w:rsidR="00EA13B7">
        <w:rPr>
          <w:rFonts w:cstheme="minorHAnsi"/>
          <w:szCs w:val="24"/>
        </w:rPr>
        <w:t> </w:t>
      </w:r>
      <w:r w:rsidR="005C4E95">
        <w:rPr>
          <w:rFonts w:cstheme="minorHAnsi"/>
          <w:szCs w:val="24"/>
        </w:rPr>
        <w:t>tys.</w:t>
      </w:r>
      <w:r w:rsidRPr="00E401F0">
        <w:rPr>
          <w:rFonts w:cstheme="minorHAnsi"/>
          <w:szCs w:val="24"/>
        </w:rPr>
        <w:t xml:space="preserve"> pasażerów więcej niż </w:t>
      </w:r>
      <w:r w:rsidR="007B4A6D" w:rsidRPr="00E401F0">
        <w:rPr>
          <w:rFonts w:cstheme="minorHAnsi"/>
          <w:szCs w:val="24"/>
        </w:rPr>
        <w:t xml:space="preserve">w </w:t>
      </w:r>
      <w:r w:rsidR="005C4E95">
        <w:rPr>
          <w:rFonts w:cstheme="minorHAnsi"/>
          <w:szCs w:val="24"/>
        </w:rPr>
        <w:t xml:space="preserve">analogicznym okresie </w:t>
      </w:r>
      <w:r w:rsidR="00F418D5">
        <w:rPr>
          <w:rFonts w:cstheme="minorHAnsi"/>
          <w:szCs w:val="24"/>
        </w:rPr>
        <w:t xml:space="preserve">2024 </w:t>
      </w:r>
      <w:r w:rsidR="005C4E95">
        <w:rPr>
          <w:rFonts w:cstheme="minorHAnsi"/>
          <w:szCs w:val="24"/>
        </w:rPr>
        <w:t>roku</w:t>
      </w:r>
      <w:r w:rsidRPr="00E401F0">
        <w:rPr>
          <w:rFonts w:cstheme="minorHAnsi"/>
          <w:szCs w:val="24"/>
        </w:rPr>
        <w:t xml:space="preserve">.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przewoźnik obsłużył </w:t>
      </w:r>
      <w:r w:rsidR="005C4E95">
        <w:rPr>
          <w:rFonts w:cstheme="minorHAnsi"/>
          <w:szCs w:val="24"/>
        </w:rPr>
        <w:t>2,</w:t>
      </w:r>
      <w:r w:rsidR="00F418D5">
        <w:rPr>
          <w:rFonts w:cstheme="minorHAnsi"/>
          <w:szCs w:val="24"/>
        </w:rPr>
        <w:t>6</w:t>
      </w:r>
      <w:r w:rsidRPr="00E401F0">
        <w:rPr>
          <w:rFonts w:cstheme="minorHAnsi"/>
          <w:szCs w:val="24"/>
        </w:rPr>
        <w:t xml:space="preserve"> mln pasażerów. Kolejnymi przewoźnikami sieciowymi pod względem liczby pasażerów przewiezionych </w:t>
      </w:r>
      <w:r w:rsidR="00EA13B7">
        <w:rPr>
          <w:rFonts w:cstheme="minorHAnsi"/>
          <w:szCs w:val="24"/>
        </w:rPr>
        <w:t>w </w:t>
      </w:r>
      <w:r w:rsidR="005C4E95">
        <w:rPr>
          <w:rFonts w:cstheme="minorHAnsi"/>
          <w:szCs w:val="24"/>
        </w:rPr>
        <w:t xml:space="preserve">pierwszej części </w:t>
      </w:r>
      <w:r w:rsidR="00F418D5">
        <w:rPr>
          <w:rFonts w:cstheme="minorHAnsi"/>
          <w:szCs w:val="24"/>
        </w:rPr>
        <w:t>2025</w:t>
      </w:r>
      <w:r w:rsidR="00F418D5" w:rsidRPr="00E401F0">
        <w:rPr>
          <w:rFonts w:cstheme="minorHAnsi"/>
          <w:szCs w:val="24"/>
        </w:rPr>
        <w:t xml:space="preserve"> </w:t>
      </w:r>
      <w:r w:rsidR="00FD7200" w:rsidRPr="00E401F0">
        <w:rPr>
          <w:rFonts w:cstheme="minorHAnsi"/>
          <w:szCs w:val="24"/>
        </w:rPr>
        <w:t>roku</w:t>
      </w:r>
      <w:r w:rsidRPr="00E401F0">
        <w:rPr>
          <w:rFonts w:cstheme="minorHAnsi"/>
          <w:szCs w:val="24"/>
        </w:rPr>
        <w:t xml:space="preserve"> byli</w:t>
      </w:r>
      <w:r w:rsidR="005E15EF">
        <w:rPr>
          <w:rFonts w:cstheme="minorHAnsi"/>
          <w:szCs w:val="24"/>
        </w:rPr>
        <w:t>:</w:t>
      </w:r>
      <w:r w:rsidRPr="00E401F0">
        <w:rPr>
          <w:rFonts w:cstheme="minorHAnsi"/>
          <w:szCs w:val="24"/>
        </w:rPr>
        <w:t xml:space="preserve"> Lufthansa (</w:t>
      </w:r>
      <w:r w:rsidR="00F418D5">
        <w:rPr>
          <w:rFonts w:cstheme="minorHAnsi"/>
          <w:szCs w:val="24"/>
        </w:rPr>
        <w:t>970,7</w:t>
      </w:r>
      <w:r w:rsidR="005C4E95">
        <w:rPr>
          <w:rFonts w:cstheme="minorHAnsi"/>
          <w:szCs w:val="24"/>
        </w:rPr>
        <w:t xml:space="preserve"> tys.</w:t>
      </w:r>
      <w:r w:rsidRPr="00E401F0">
        <w:rPr>
          <w:rFonts w:cstheme="minorHAnsi"/>
          <w:szCs w:val="24"/>
        </w:rPr>
        <w:t xml:space="preserve"> pasażerów </w:t>
      </w:r>
      <w:r w:rsidR="0061772E" w:rsidRPr="00E401F0">
        <w:rPr>
          <w:rFonts w:cstheme="minorHAnsi"/>
          <w:szCs w:val="24"/>
        </w:rPr>
        <w:t xml:space="preserve">w </w:t>
      </w:r>
      <w:r w:rsidR="005C4E95">
        <w:rPr>
          <w:rFonts w:cstheme="minorHAnsi"/>
          <w:szCs w:val="24"/>
        </w:rPr>
        <w:t>półroczu</w:t>
      </w:r>
      <w:r w:rsidRPr="00E401F0">
        <w:rPr>
          <w:rFonts w:cstheme="minorHAnsi"/>
          <w:szCs w:val="24"/>
        </w:rPr>
        <w:t xml:space="preserve">, </w:t>
      </w:r>
      <w:r w:rsidR="00F418D5">
        <w:rPr>
          <w:rFonts w:cstheme="minorHAnsi"/>
          <w:szCs w:val="24"/>
        </w:rPr>
        <w:t>-20,8</w:t>
      </w:r>
      <w:r w:rsidRPr="00E401F0">
        <w:rPr>
          <w:rFonts w:cstheme="minorHAnsi"/>
          <w:szCs w:val="24"/>
        </w:rPr>
        <w:t xml:space="preserve"> tys. do </w:t>
      </w:r>
      <w:r w:rsidR="00F418D5" w:rsidRPr="00E401F0">
        <w:rPr>
          <w:rFonts w:cstheme="minorHAnsi"/>
          <w:szCs w:val="24"/>
        </w:rPr>
        <w:t>202</w:t>
      </w:r>
      <w:r w:rsidR="00F418D5">
        <w:rPr>
          <w:rFonts w:cstheme="minorHAnsi"/>
          <w:szCs w:val="24"/>
        </w:rPr>
        <w:t>4</w:t>
      </w:r>
      <w:r w:rsidR="00F418D5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r</w:t>
      </w:r>
      <w:r w:rsidR="00EF0FBC">
        <w:rPr>
          <w:rFonts w:cstheme="minorHAnsi"/>
          <w:szCs w:val="24"/>
        </w:rPr>
        <w:t>oku</w:t>
      </w:r>
      <w:r w:rsidR="005C4E95">
        <w:rPr>
          <w:rFonts w:cstheme="minorHAnsi"/>
          <w:szCs w:val="24"/>
        </w:rPr>
        <w:t>) oraz</w:t>
      </w:r>
      <w:r w:rsidRPr="00E401F0">
        <w:rPr>
          <w:rFonts w:cstheme="minorHAnsi"/>
          <w:szCs w:val="24"/>
        </w:rPr>
        <w:t xml:space="preserve"> KLM (</w:t>
      </w:r>
      <w:r w:rsidR="00F418D5">
        <w:rPr>
          <w:rFonts w:cstheme="minorHAnsi"/>
          <w:szCs w:val="24"/>
        </w:rPr>
        <w:t> 547,8</w:t>
      </w:r>
      <w:r w:rsidR="00F418D5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tys. pasażerów </w:t>
      </w:r>
      <w:r w:rsidR="0061772E" w:rsidRPr="00E401F0">
        <w:rPr>
          <w:rFonts w:cstheme="minorHAnsi"/>
          <w:szCs w:val="24"/>
        </w:rPr>
        <w:t xml:space="preserve">w </w:t>
      </w:r>
      <w:r w:rsidR="005C4E95">
        <w:rPr>
          <w:rFonts w:cstheme="minorHAnsi"/>
          <w:szCs w:val="24"/>
        </w:rPr>
        <w:t>półroczu</w:t>
      </w:r>
      <w:r w:rsidRPr="00E401F0">
        <w:rPr>
          <w:rFonts w:cstheme="minorHAnsi"/>
          <w:szCs w:val="24"/>
        </w:rPr>
        <w:t>, +</w:t>
      </w:r>
      <w:r w:rsidR="00F418D5">
        <w:rPr>
          <w:rFonts w:cstheme="minorHAnsi"/>
          <w:szCs w:val="24"/>
        </w:rPr>
        <w:t>47,9</w:t>
      </w:r>
      <w:r w:rsidR="005C4E95">
        <w:rPr>
          <w:rFonts w:cstheme="minorHAnsi"/>
          <w:szCs w:val="24"/>
        </w:rPr>
        <w:t xml:space="preserve"> tys. do </w:t>
      </w:r>
      <w:r w:rsidR="00F418D5">
        <w:rPr>
          <w:rFonts w:cstheme="minorHAnsi"/>
          <w:szCs w:val="24"/>
        </w:rPr>
        <w:t>2024</w:t>
      </w:r>
      <w:r w:rsidR="00F418D5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r</w:t>
      </w:r>
      <w:r w:rsidR="00EF0FBC">
        <w:rPr>
          <w:rFonts w:cstheme="minorHAnsi"/>
          <w:szCs w:val="24"/>
        </w:rPr>
        <w:t>oku</w:t>
      </w:r>
      <w:r w:rsidRPr="00E401F0">
        <w:rPr>
          <w:rFonts w:cstheme="minorHAnsi"/>
          <w:szCs w:val="24"/>
        </w:rPr>
        <w:t>).</w:t>
      </w:r>
    </w:p>
    <w:p w14:paraId="6E69BF00" w14:textId="77777777" w:rsidR="00336778" w:rsidRDefault="00336778" w:rsidP="00336778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457E5E7E" wp14:editId="1391FAA3">
            <wp:extent cx="3600000" cy="1922400"/>
            <wp:effectExtent l="0" t="0" r="635" b="1905"/>
            <wp:docPr id="82" name="Wykres 82" descr="Wykres przedstawia porównanie dynamiki ruchu międzynarodowego przewoźników niskokosztowych i sieciowych w minionych kwartałach roku bieżącego i poprzedniego. Dane przedstawione w Tabeli 22.1 poniżej." title="Wykres 22.1 Porównanie dynamiki ruchu międzynarodow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646A18B7" w14:textId="54FC0960" w:rsidR="00336778" w:rsidRPr="00E401F0" w:rsidRDefault="00336778" w:rsidP="009A4597">
      <w:pPr>
        <w:pStyle w:val="Legenda"/>
        <w:rPr>
          <w:rFonts w:cstheme="minorHAnsi"/>
          <w:szCs w:val="24"/>
        </w:rPr>
      </w:pPr>
      <w:bookmarkStart w:id="101" w:name="_Toc219462814"/>
      <w:r w:rsidRPr="00336778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22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336778">
        <w:rPr>
          <w:noProof/>
        </w:rPr>
        <w:t xml:space="preserve"> </w:t>
      </w:r>
      <w:r w:rsidR="001B72F1" w:rsidRPr="001B72F1">
        <w:rPr>
          <w:noProof/>
        </w:rPr>
        <w:t>Porównanie dynamiki ruchu międzynarodowego przewoźników LCC i sieciowych – wykres przedstawia porównanie dynamiki ruchu międzynarodowego dla przewoźników niskokosztowych i sieciowych w pierwszej połowie 2025 i 2024</w:t>
      </w:r>
      <w:r w:rsidR="003E70F6">
        <w:rPr>
          <w:i w:val="0"/>
          <w:iCs w:val="0"/>
          <w:szCs w:val="22"/>
        </w:rPr>
        <w:t xml:space="preserve"> </w:t>
      </w:r>
      <w:r w:rsidR="001B72F1" w:rsidRPr="001B72F1">
        <w:rPr>
          <w:noProof/>
        </w:rPr>
        <w:t>roku</w:t>
      </w:r>
      <w:bookmarkEnd w:id="101"/>
    </w:p>
    <w:tbl>
      <w:tblPr>
        <w:tblW w:w="366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2.1 Porównanie dynamiki ruchu przewoźników LCC i sieciowych"/>
        <w:tblDescription w:val="Tabela przedstawia porównanie dynamiki ruchu przewoźników niskokosztowych i sieciowych w minionych kwartałach roku bieżącego i poprzedniego."/>
      </w:tblPr>
      <w:tblGrid>
        <w:gridCol w:w="2220"/>
        <w:gridCol w:w="1440"/>
      </w:tblGrid>
      <w:tr w:rsidR="002E4EA4" w:rsidRPr="00E401F0" w14:paraId="1B96FD06" w14:textId="77777777" w:rsidTr="00086DF6">
        <w:trPr>
          <w:trHeight w:val="317"/>
          <w:tblHeader/>
          <w:jc w:val="center"/>
        </w:trPr>
        <w:tc>
          <w:tcPr>
            <w:tcW w:w="2220" w:type="dxa"/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4319E4" w14:textId="77777777" w:rsidR="002E4EA4" w:rsidRPr="00E401F0" w:rsidRDefault="002E4EA4" w:rsidP="00AB372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Typ przewoźnika</w:t>
            </w:r>
          </w:p>
        </w:tc>
        <w:tc>
          <w:tcPr>
            <w:tcW w:w="1440" w:type="dxa"/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4531DF" w14:textId="77777777" w:rsidR="002E4EA4" w:rsidRPr="00E401F0" w:rsidRDefault="002E4EA4" w:rsidP="00AB372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Wartość</w:t>
            </w:r>
          </w:p>
        </w:tc>
      </w:tr>
      <w:tr w:rsidR="007D47FC" w:rsidRPr="00E401F0" w14:paraId="3FE1CC7D" w14:textId="77777777" w:rsidTr="003479CB">
        <w:trPr>
          <w:trHeight w:val="317"/>
          <w:jc w:val="center"/>
        </w:trPr>
        <w:tc>
          <w:tcPr>
            <w:tcW w:w="22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758DD3" w14:textId="77777777" w:rsidR="007D47FC" w:rsidRPr="00F27BCD" w:rsidRDefault="007D47FC" w:rsidP="007D47F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27BCD">
              <w:rPr>
                <w:rFonts w:cstheme="minorHAnsi"/>
                <w:color w:val="283772"/>
                <w:szCs w:val="24"/>
              </w:rPr>
              <w:t>Sieciowi</w:t>
            </w:r>
          </w:p>
        </w:tc>
        <w:tc>
          <w:tcPr>
            <w:tcW w:w="14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CE856F" w14:textId="4B938A65" w:rsidR="007D47FC" w:rsidRPr="00F00187" w:rsidRDefault="007D47FC" w:rsidP="007D47F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47FC">
              <w:rPr>
                <w:rFonts w:cstheme="minorHAnsi"/>
                <w:color w:val="283772"/>
                <w:szCs w:val="24"/>
              </w:rPr>
              <w:t>12,27%</w:t>
            </w:r>
          </w:p>
        </w:tc>
      </w:tr>
      <w:tr w:rsidR="007D47FC" w:rsidRPr="00E401F0" w14:paraId="71CE3B98" w14:textId="77777777" w:rsidTr="003479CB">
        <w:trPr>
          <w:trHeight w:val="317"/>
          <w:jc w:val="center"/>
        </w:trPr>
        <w:tc>
          <w:tcPr>
            <w:tcW w:w="2220" w:type="dxa"/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6EB718" w14:textId="77777777" w:rsidR="007D47FC" w:rsidRPr="00F27BCD" w:rsidRDefault="007D47FC" w:rsidP="007D47F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27BCD">
              <w:rPr>
                <w:rFonts w:cstheme="minorHAnsi"/>
                <w:color w:val="283772"/>
                <w:szCs w:val="24"/>
              </w:rPr>
              <w:t>Niskokosztowi</w:t>
            </w:r>
          </w:p>
        </w:tc>
        <w:tc>
          <w:tcPr>
            <w:tcW w:w="1440" w:type="dxa"/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672EBD6" w14:textId="55CED4AE" w:rsidR="007D47FC" w:rsidRPr="00F00187" w:rsidRDefault="007D47FC" w:rsidP="007D47FC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47FC">
              <w:rPr>
                <w:rFonts w:cstheme="minorHAnsi"/>
                <w:color w:val="283772"/>
                <w:szCs w:val="24"/>
              </w:rPr>
              <w:t>12,19%</w:t>
            </w:r>
          </w:p>
        </w:tc>
      </w:tr>
    </w:tbl>
    <w:p w14:paraId="0FD121AB" w14:textId="77777777" w:rsidR="00AB3727" w:rsidRPr="00E401F0" w:rsidRDefault="00AB3727">
      <w:pPr>
        <w:pStyle w:val="Legenda"/>
      </w:pPr>
      <w:bookmarkStart w:id="102" w:name="_Toc216787159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22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Porównanie dynamiki ruchu</w:t>
      </w:r>
      <w:r w:rsidR="00F5163A" w:rsidRPr="00E401F0">
        <w:rPr>
          <w:noProof/>
        </w:rPr>
        <w:t xml:space="preserve"> przewoźników LCC i sieciowych</w:t>
      </w:r>
      <w:bookmarkEnd w:id="102"/>
    </w:p>
    <w:p w14:paraId="650562E1" w14:textId="56A94317" w:rsidR="004E65B5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Wskaźnik S/F </w:t>
      </w:r>
      <w:r w:rsidR="00765B10">
        <w:rPr>
          <w:rFonts w:cstheme="minorHAnsi"/>
          <w:szCs w:val="24"/>
        </w:rPr>
        <w:t xml:space="preserve">w ruchu międzynarodowym dla </w:t>
      </w:r>
      <w:r w:rsidRPr="00E401F0">
        <w:rPr>
          <w:rFonts w:cstheme="minorHAnsi"/>
          <w:szCs w:val="24"/>
        </w:rPr>
        <w:t>przewo</w:t>
      </w:r>
      <w:r w:rsidR="00977AF0">
        <w:rPr>
          <w:rFonts w:cstheme="minorHAnsi"/>
          <w:szCs w:val="24"/>
        </w:rPr>
        <w:t xml:space="preserve">źników niskokosztowych </w:t>
      </w:r>
      <w:r w:rsidR="000070E8">
        <w:rPr>
          <w:rFonts w:cstheme="minorHAnsi"/>
          <w:szCs w:val="24"/>
        </w:rPr>
        <w:t xml:space="preserve">wzrósł </w:t>
      </w:r>
      <w:r w:rsidR="00977AF0">
        <w:rPr>
          <w:rFonts w:cstheme="minorHAnsi"/>
          <w:szCs w:val="24"/>
        </w:rPr>
        <w:t>o </w:t>
      </w:r>
      <w:r w:rsidR="00A25C08">
        <w:rPr>
          <w:rFonts w:cstheme="minorHAnsi"/>
          <w:szCs w:val="24"/>
        </w:rPr>
        <w:t>1</w:t>
      </w:r>
      <w:r w:rsidR="000070E8">
        <w:rPr>
          <w:rFonts w:cstheme="minorHAnsi"/>
          <w:szCs w:val="24"/>
        </w:rPr>
        <w:t>,5</w:t>
      </w:r>
      <w:r w:rsidR="00977AF0">
        <w:rPr>
          <w:rFonts w:cstheme="minorHAnsi"/>
          <w:szCs w:val="24"/>
        </w:rPr>
        <w:t> </w:t>
      </w:r>
      <w:r w:rsidR="00A25C08">
        <w:rPr>
          <w:rFonts w:cstheme="minorHAnsi"/>
          <w:szCs w:val="24"/>
        </w:rPr>
        <w:t>punkt</w:t>
      </w:r>
      <w:r w:rsidR="000070E8">
        <w:rPr>
          <w:rFonts w:cstheme="minorHAnsi"/>
          <w:szCs w:val="24"/>
        </w:rPr>
        <w:t>u</w:t>
      </w:r>
      <w:r w:rsidR="00A25C08">
        <w:rPr>
          <w:rFonts w:cstheme="minorHAnsi"/>
          <w:szCs w:val="24"/>
        </w:rPr>
        <w:t xml:space="preserve"> procentow</w:t>
      </w:r>
      <w:r w:rsidR="000070E8">
        <w:rPr>
          <w:rFonts w:cstheme="minorHAnsi"/>
          <w:szCs w:val="24"/>
        </w:rPr>
        <w:t>ego</w:t>
      </w:r>
      <w:r w:rsidRPr="00E401F0">
        <w:rPr>
          <w:rFonts w:cstheme="minorHAnsi"/>
          <w:szCs w:val="24"/>
        </w:rPr>
        <w:t xml:space="preserve"> </w:t>
      </w:r>
      <w:r w:rsidR="007B4A6D" w:rsidRPr="00E401F0">
        <w:rPr>
          <w:rFonts w:cstheme="minorHAnsi"/>
          <w:szCs w:val="24"/>
        </w:rPr>
        <w:t xml:space="preserve">w </w:t>
      </w:r>
      <w:r w:rsidR="00A25C08">
        <w:rPr>
          <w:rFonts w:cstheme="minorHAnsi"/>
          <w:szCs w:val="24"/>
        </w:rPr>
        <w:t xml:space="preserve">pierwszej połowie </w:t>
      </w:r>
      <w:r w:rsidR="000070E8" w:rsidRPr="00E401F0">
        <w:rPr>
          <w:rFonts w:cstheme="minorHAnsi"/>
          <w:szCs w:val="24"/>
        </w:rPr>
        <w:t>202</w:t>
      </w:r>
      <w:r w:rsidR="000070E8">
        <w:rPr>
          <w:rFonts w:cstheme="minorHAnsi"/>
          <w:szCs w:val="24"/>
        </w:rPr>
        <w:t>5</w:t>
      </w:r>
      <w:r w:rsidR="000070E8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roku w stosunku do </w:t>
      </w:r>
      <w:r w:rsidR="00A25C08">
        <w:rPr>
          <w:rFonts w:cstheme="minorHAnsi"/>
          <w:szCs w:val="24"/>
        </w:rPr>
        <w:t xml:space="preserve">tego samego okresu </w:t>
      </w:r>
      <w:r w:rsidR="000070E8" w:rsidRPr="00E401F0">
        <w:rPr>
          <w:rFonts w:cstheme="minorHAnsi"/>
          <w:szCs w:val="24"/>
        </w:rPr>
        <w:t>202</w:t>
      </w:r>
      <w:r w:rsidR="000070E8">
        <w:rPr>
          <w:rFonts w:cstheme="minorHAnsi"/>
          <w:szCs w:val="24"/>
        </w:rPr>
        <w:t xml:space="preserve">4 </w:t>
      </w:r>
      <w:r w:rsidR="00A25C08">
        <w:rPr>
          <w:rFonts w:cstheme="minorHAnsi"/>
          <w:szCs w:val="24"/>
        </w:rPr>
        <w:t xml:space="preserve">roku </w:t>
      </w:r>
      <w:r w:rsidR="00977AF0">
        <w:rPr>
          <w:rFonts w:cstheme="minorHAnsi"/>
          <w:szCs w:val="24"/>
        </w:rPr>
        <w:t xml:space="preserve">i wyniósł </w:t>
      </w:r>
      <w:r w:rsidR="000070E8">
        <w:rPr>
          <w:rFonts w:cstheme="minorHAnsi"/>
          <w:szCs w:val="24"/>
        </w:rPr>
        <w:t>88,4</w:t>
      </w:r>
      <w:r w:rsidR="00977AF0">
        <w:rPr>
          <w:rFonts w:cstheme="minorHAnsi"/>
          <w:szCs w:val="24"/>
        </w:rPr>
        <w:t>%</w:t>
      </w:r>
      <w:r w:rsidRPr="00E401F0">
        <w:rPr>
          <w:rFonts w:cstheme="minorHAnsi"/>
          <w:szCs w:val="24"/>
        </w:rPr>
        <w:t xml:space="preserve">.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S/F </w:t>
      </w:r>
      <w:r w:rsidR="000070E8">
        <w:rPr>
          <w:rFonts w:cstheme="minorHAnsi"/>
          <w:szCs w:val="24"/>
        </w:rPr>
        <w:t>wzrósł</w:t>
      </w:r>
      <w:r w:rsidR="000070E8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o </w:t>
      </w:r>
      <w:r w:rsidR="000070E8">
        <w:rPr>
          <w:rFonts w:cstheme="minorHAnsi"/>
          <w:szCs w:val="24"/>
        </w:rPr>
        <w:t>0,1</w:t>
      </w:r>
      <w:r w:rsidRPr="00E401F0">
        <w:rPr>
          <w:rFonts w:cstheme="minorHAnsi"/>
          <w:szCs w:val="24"/>
        </w:rPr>
        <w:t xml:space="preserve"> </w:t>
      </w:r>
      <w:r w:rsidR="007D1DB4">
        <w:rPr>
          <w:rFonts w:cstheme="minorHAnsi"/>
          <w:szCs w:val="24"/>
        </w:rPr>
        <w:t>punktu procentowego</w:t>
      </w:r>
      <w:r w:rsidRPr="00E401F0">
        <w:rPr>
          <w:rFonts w:cstheme="minorHAnsi"/>
          <w:szCs w:val="24"/>
        </w:rPr>
        <w:t xml:space="preserve"> </w:t>
      </w:r>
      <w:r w:rsidR="00977AF0">
        <w:rPr>
          <w:rFonts w:cstheme="minorHAnsi"/>
          <w:szCs w:val="24"/>
        </w:rPr>
        <w:t>w </w:t>
      </w:r>
      <w:r w:rsidRPr="00E401F0">
        <w:rPr>
          <w:rFonts w:cstheme="minorHAnsi"/>
          <w:szCs w:val="24"/>
        </w:rPr>
        <w:t>stosunku do analogi</w:t>
      </w:r>
      <w:r w:rsidR="00A25C08">
        <w:rPr>
          <w:rFonts w:cstheme="minorHAnsi"/>
          <w:szCs w:val="24"/>
        </w:rPr>
        <w:t>czn</w:t>
      </w:r>
      <w:r w:rsidR="000070E8">
        <w:rPr>
          <w:rFonts w:cstheme="minorHAnsi"/>
          <w:szCs w:val="24"/>
        </w:rPr>
        <w:t>ego</w:t>
      </w:r>
      <w:r w:rsidR="00A25C08">
        <w:rPr>
          <w:rFonts w:cstheme="minorHAnsi"/>
          <w:szCs w:val="24"/>
        </w:rPr>
        <w:t xml:space="preserve"> okres</w:t>
      </w:r>
      <w:r w:rsidR="000070E8">
        <w:rPr>
          <w:rFonts w:cstheme="minorHAnsi"/>
          <w:szCs w:val="24"/>
        </w:rPr>
        <w:t>u</w:t>
      </w:r>
      <w:r w:rsidR="00A25C08">
        <w:rPr>
          <w:rFonts w:cstheme="minorHAnsi"/>
          <w:szCs w:val="24"/>
        </w:rPr>
        <w:t xml:space="preserve"> 202</w:t>
      </w:r>
      <w:r w:rsidR="000070E8">
        <w:rPr>
          <w:rFonts w:cstheme="minorHAnsi"/>
          <w:szCs w:val="24"/>
        </w:rPr>
        <w:t>4 roku</w:t>
      </w:r>
      <w:r w:rsidRPr="00E401F0">
        <w:rPr>
          <w:rFonts w:cstheme="minorHAnsi"/>
          <w:szCs w:val="24"/>
        </w:rPr>
        <w:t xml:space="preserve"> </w:t>
      </w:r>
      <w:r w:rsidR="00977AF0">
        <w:rPr>
          <w:rFonts w:cstheme="minorHAnsi"/>
          <w:szCs w:val="24"/>
        </w:rPr>
        <w:t xml:space="preserve">i wyniósł </w:t>
      </w:r>
      <w:r w:rsidR="000070E8">
        <w:rPr>
          <w:rFonts w:cstheme="minorHAnsi"/>
          <w:szCs w:val="24"/>
        </w:rPr>
        <w:t>89,3</w:t>
      </w:r>
      <w:r w:rsidR="00A25C08">
        <w:rPr>
          <w:rFonts w:cstheme="minorHAnsi"/>
          <w:szCs w:val="24"/>
        </w:rPr>
        <w:t>%</w:t>
      </w:r>
      <w:r w:rsidRPr="00E401F0">
        <w:rPr>
          <w:rFonts w:cstheme="minorHAnsi"/>
          <w:szCs w:val="24"/>
        </w:rPr>
        <w:t xml:space="preserve">. </w:t>
      </w:r>
    </w:p>
    <w:p w14:paraId="1AAF2FB3" w14:textId="2C3DE356"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Współczynnik LF </w:t>
      </w:r>
      <w:r w:rsidR="00A25C08">
        <w:rPr>
          <w:rFonts w:cstheme="minorHAnsi"/>
          <w:szCs w:val="24"/>
        </w:rPr>
        <w:t xml:space="preserve">przewoźników niskokosztowych </w:t>
      </w:r>
      <w:r w:rsidRPr="00E401F0">
        <w:rPr>
          <w:rFonts w:cstheme="minorHAnsi"/>
          <w:szCs w:val="24"/>
        </w:rPr>
        <w:t xml:space="preserve">miał następujące dynamiki w stosunku do </w:t>
      </w:r>
      <w:r w:rsidR="00A25C08">
        <w:rPr>
          <w:rFonts w:cstheme="minorHAnsi"/>
          <w:szCs w:val="24"/>
        </w:rPr>
        <w:t>półrocza</w:t>
      </w:r>
      <w:r w:rsidRPr="00E401F0">
        <w:rPr>
          <w:rFonts w:cstheme="minorHAnsi"/>
          <w:szCs w:val="24"/>
        </w:rPr>
        <w:t xml:space="preserve"> i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</w:t>
      </w:r>
      <w:r w:rsidR="000070E8" w:rsidRPr="00E401F0">
        <w:rPr>
          <w:rFonts w:cstheme="minorHAnsi"/>
          <w:szCs w:val="24"/>
        </w:rPr>
        <w:t>202</w:t>
      </w:r>
      <w:r w:rsidR="000070E8">
        <w:rPr>
          <w:rFonts w:cstheme="minorHAnsi"/>
          <w:szCs w:val="24"/>
        </w:rPr>
        <w:t>4</w:t>
      </w:r>
      <w:r w:rsidR="000070E8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roku: </w:t>
      </w:r>
      <w:r w:rsidR="000070E8">
        <w:rPr>
          <w:rFonts w:cstheme="minorHAnsi"/>
          <w:szCs w:val="24"/>
        </w:rPr>
        <w:t>+</w:t>
      </w:r>
      <w:r w:rsidR="00A25C08">
        <w:rPr>
          <w:rFonts w:cstheme="minorHAnsi"/>
          <w:szCs w:val="24"/>
        </w:rPr>
        <w:t>0,</w:t>
      </w:r>
      <w:r w:rsidR="000070E8">
        <w:rPr>
          <w:rFonts w:cstheme="minorHAnsi"/>
          <w:szCs w:val="24"/>
        </w:rPr>
        <w:t>9</w:t>
      </w:r>
      <w:r w:rsidRPr="00E401F0">
        <w:rPr>
          <w:rFonts w:cstheme="minorHAnsi"/>
          <w:szCs w:val="24"/>
        </w:rPr>
        <w:t xml:space="preserve"> </w:t>
      </w:r>
      <w:r w:rsidR="00A25C08">
        <w:rPr>
          <w:rFonts w:cstheme="minorHAnsi"/>
          <w:szCs w:val="24"/>
        </w:rPr>
        <w:t>punktu procentowego</w:t>
      </w:r>
      <w:r w:rsidR="00EA13B7">
        <w:rPr>
          <w:rFonts w:cstheme="minorHAnsi"/>
          <w:szCs w:val="24"/>
        </w:rPr>
        <w:t xml:space="preserve"> i </w:t>
      </w:r>
      <w:r w:rsidR="000070E8">
        <w:rPr>
          <w:rFonts w:cstheme="minorHAnsi"/>
          <w:szCs w:val="24"/>
        </w:rPr>
        <w:t>-0,5</w:t>
      </w:r>
      <w:r w:rsidR="00EA13B7">
        <w:rPr>
          <w:rFonts w:cstheme="minorHAnsi"/>
          <w:szCs w:val="24"/>
        </w:rPr>
        <w:t> </w:t>
      </w:r>
      <w:r w:rsidR="00A25C08">
        <w:rPr>
          <w:rFonts w:cstheme="minorHAnsi"/>
          <w:szCs w:val="24"/>
        </w:rPr>
        <w:t>punkt</w:t>
      </w:r>
      <w:r w:rsidR="000070E8">
        <w:rPr>
          <w:rFonts w:cstheme="minorHAnsi"/>
          <w:szCs w:val="24"/>
        </w:rPr>
        <w:t>u</w:t>
      </w:r>
      <w:r w:rsidR="00A25C08">
        <w:rPr>
          <w:rFonts w:cstheme="minorHAnsi"/>
          <w:szCs w:val="24"/>
        </w:rPr>
        <w:t xml:space="preserve"> </w:t>
      </w:r>
      <w:r w:rsidR="00A25C08">
        <w:rPr>
          <w:rFonts w:cstheme="minorHAnsi"/>
          <w:szCs w:val="24"/>
        </w:rPr>
        <w:lastRenderedPageBreak/>
        <w:t>procentow</w:t>
      </w:r>
      <w:r w:rsidR="000070E8">
        <w:rPr>
          <w:rFonts w:cstheme="minorHAnsi"/>
          <w:szCs w:val="24"/>
        </w:rPr>
        <w:t xml:space="preserve">ego. </w:t>
      </w:r>
      <w:r w:rsidR="00977AF0">
        <w:rPr>
          <w:rFonts w:cstheme="minorHAnsi"/>
          <w:szCs w:val="24"/>
        </w:rPr>
        <w:t>Współczynnik LF w ruchu międzynarodowym</w:t>
      </w:r>
      <w:r w:rsidR="00977AF0" w:rsidRPr="00E401F0">
        <w:rPr>
          <w:rFonts w:cstheme="minorHAnsi"/>
          <w:szCs w:val="24"/>
        </w:rPr>
        <w:t xml:space="preserve"> </w:t>
      </w:r>
      <w:r w:rsidR="00977AF0">
        <w:rPr>
          <w:rFonts w:cstheme="minorHAnsi"/>
          <w:szCs w:val="24"/>
        </w:rPr>
        <w:t>dla przewoźników niskokosztowych wyniósł w </w:t>
      </w:r>
      <w:r w:rsidR="00A25C08">
        <w:rPr>
          <w:rFonts w:cstheme="minorHAnsi"/>
          <w:szCs w:val="24"/>
        </w:rPr>
        <w:t xml:space="preserve">pierwszej połowie </w:t>
      </w:r>
      <w:r w:rsidR="000070E8">
        <w:rPr>
          <w:rFonts w:cstheme="minorHAnsi"/>
          <w:szCs w:val="24"/>
        </w:rPr>
        <w:t xml:space="preserve">2025 </w:t>
      </w:r>
      <w:r w:rsidR="00977AF0">
        <w:rPr>
          <w:rFonts w:cstheme="minorHAnsi"/>
          <w:szCs w:val="24"/>
        </w:rPr>
        <w:t xml:space="preserve">roku </w:t>
      </w:r>
      <w:r w:rsidR="000070E8">
        <w:rPr>
          <w:rFonts w:cstheme="minorHAnsi"/>
          <w:szCs w:val="24"/>
        </w:rPr>
        <w:t>89,4</w:t>
      </w:r>
      <w:r w:rsidR="00977AF0">
        <w:rPr>
          <w:rFonts w:cstheme="minorHAnsi"/>
          <w:szCs w:val="24"/>
        </w:rPr>
        <w:t xml:space="preserve">%, a w </w:t>
      </w:r>
      <w:r w:rsidR="00AE5EBE">
        <w:rPr>
          <w:rFonts w:cstheme="minorHAnsi"/>
          <w:szCs w:val="24"/>
        </w:rPr>
        <w:t>drugim</w:t>
      </w:r>
      <w:r w:rsidR="00A25C08">
        <w:rPr>
          <w:rFonts w:cstheme="minorHAnsi"/>
          <w:szCs w:val="24"/>
        </w:rPr>
        <w:t xml:space="preserve"> kwartale </w:t>
      </w:r>
      <w:r w:rsidR="000070E8">
        <w:rPr>
          <w:rFonts w:cstheme="minorHAnsi"/>
          <w:szCs w:val="24"/>
        </w:rPr>
        <w:t>89,8</w:t>
      </w:r>
      <w:r w:rsidR="00977AF0">
        <w:rPr>
          <w:rFonts w:cstheme="minorHAnsi"/>
          <w:szCs w:val="24"/>
        </w:rPr>
        <w:t>%.</w:t>
      </w:r>
    </w:p>
    <w:p w14:paraId="4DC5B753" w14:textId="5085765A" w:rsidR="004E65B5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Dla przewoźników sieciowych </w:t>
      </w:r>
      <w:r w:rsidR="00977AF0">
        <w:rPr>
          <w:rFonts w:cstheme="minorHAnsi"/>
          <w:szCs w:val="24"/>
        </w:rPr>
        <w:t xml:space="preserve">współczynnik </w:t>
      </w:r>
      <w:r w:rsidRPr="00E401F0">
        <w:rPr>
          <w:rFonts w:cstheme="minorHAnsi"/>
          <w:szCs w:val="24"/>
        </w:rPr>
        <w:t>S/F</w:t>
      </w:r>
      <w:r w:rsidR="00977AF0">
        <w:rPr>
          <w:rFonts w:cstheme="minorHAnsi"/>
          <w:szCs w:val="24"/>
        </w:rPr>
        <w:t xml:space="preserve"> w ruchu międzynarodowym</w:t>
      </w:r>
      <w:r w:rsidRPr="00E401F0">
        <w:rPr>
          <w:rFonts w:cstheme="minorHAnsi"/>
          <w:szCs w:val="24"/>
        </w:rPr>
        <w:t xml:space="preserve"> </w:t>
      </w:r>
      <w:r w:rsidR="00F71965">
        <w:rPr>
          <w:rFonts w:cstheme="minorHAnsi"/>
          <w:szCs w:val="24"/>
        </w:rPr>
        <w:t>spadł</w:t>
      </w:r>
      <w:r w:rsidR="00EA13B7">
        <w:rPr>
          <w:rFonts w:cstheme="minorHAnsi"/>
          <w:szCs w:val="24"/>
        </w:rPr>
        <w:t xml:space="preserve"> o </w:t>
      </w:r>
      <w:r w:rsidR="000070E8">
        <w:rPr>
          <w:rFonts w:cstheme="minorHAnsi"/>
          <w:szCs w:val="24"/>
        </w:rPr>
        <w:t>1,1</w:t>
      </w:r>
      <w:r w:rsidR="00EA13B7">
        <w:rPr>
          <w:rFonts w:cstheme="minorHAnsi"/>
          <w:szCs w:val="24"/>
        </w:rPr>
        <w:t> </w:t>
      </w:r>
      <w:r w:rsidR="00AE5EBE">
        <w:rPr>
          <w:rFonts w:cstheme="minorHAnsi"/>
          <w:szCs w:val="24"/>
        </w:rPr>
        <w:t>pu</w:t>
      </w:r>
      <w:r w:rsidR="00F71965">
        <w:rPr>
          <w:rFonts w:cstheme="minorHAnsi"/>
          <w:szCs w:val="24"/>
        </w:rPr>
        <w:t>nktu procentowego</w:t>
      </w:r>
      <w:r w:rsidRPr="00E401F0">
        <w:rPr>
          <w:rFonts w:cstheme="minorHAnsi"/>
          <w:szCs w:val="24"/>
        </w:rPr>
        <w:t xml:space="preserve"> </w:t>
      </w:r>
      <w:r w:rsidR="007B4A6D" w:rsidRPr="00E401F0">
        <w:rPr>
          <w:rFonts w:cstheme="minorHAnsi"/>
          <w:szCs w:val="24"/>
        </w:rPr>
        <w:t xml:space="preserve">w </w:t>
      </w:r>
      <w:r w:rsidR="00F71965">
        <w:rPr>
          <w:rFonts w:cstheme="minorHAnsi"/>
          <w:szCs w:val="24"/>
        </w:rPr>
        <w:t xml:space="preserve">pierwszej połowie </w:t>
      </w:r>
      <w:r w:rsidR="000070E8" w:rsidRPr="00E401F0">
        <w:rPr>
          <w:rFonts w:cstheme="minorHAnsi"/>
          <w:szCs w:val="24"/>
        </w:rPr>
        <w:t>202</w:t>
      </w:r>
      <w:r w:rsidR="000070E8">
        <w:rPr>
          <w:rFonts w:cstheme="minorHAnsi"/>
          <w:szCs w:val="24"/>
        </w:rPr>
        <w:t>5</w:t>
      </w:r>
      <w:r w:rsidR="000070E8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roku w stosunku do </w:t>
      </w:r>
      <w:r w:rsidR="00F71965">
        <w:rPr>
          <w:rFonts w:cstheme="minorHAnsi"/>
          <w:szCs w:val="24"/>
        </w:rPr>
        <w:t xml:space="preserve">tego samego okresu </w:t>
      </w:r>
      <w:r w:rsidR="000070E8" w:rsidRPr="00E401F0">
        <w:rPr>
          <w:rFonts w:cstheme="minorHAnsi"/>
          <w:szCs w:val="24"/>
        </w:rPr>
        <w:t>202</w:t>
      </w:r>
      <w:r w:rsidR="000070E8">
        <w:rPr>
          <w:rFonts w:cstheme="minorHAnsi"/>
          <w:szCs w:val="24"/>
        </w:rPr>
        <w:t xml:space="preserve">4 </w:t>
      </w:r>
      <w:r w:rsidR="00F71965">
        <w:rPr>
          <w:rFonts w:cstheme="minorHAnsi"/>
          <w:szCs w:val="24"/>
        </w:rPr>
        <w:t>roku</w:t>
      </w:r>
      <w:r w:rsidR="00977AF0">
        <w:rPr>
          <w:rFonts w:cstheme="minorHAnsi"/>
          <w:szCs w:val="24"/>
        </w:rPr>
        <w:t xml:space="preserve"> i wyniósł </w:t>
      </w:r>
      <w:r w:rsidR="00F71965">
        <w:rPr>
          <w:rFonts w:cstheme="minorHAnsi"/>
          <w:szCs w:val="24"/>
        </w:rPr>
        <w:t>78,</w:t>
      </w:r>
      <w:r w:rsidR="000070E8">
        <w:rPr>
          <w:rFonts w:cstheme="minorHAnsi"/>
          <w:szCs w:val="24"/>
        </w:rPr>
        <w:t>1</w:t>
      </w:r>
      <w:r w:rsidR="00977AF0">
        <w:rPr>
          <w:rFonts w:cstheme="minorHAnsi"/>
          <w:szCs w:val="24"/>
        </w:rPr>
        <w:t>%</w:t>
      </w:r>
      <w:r w:rsidRPr="00E401F0">
        <w:rPr>
          <w:rFonts w:cstheme="minorHAnsi"/>
          <w:szCs w:val="24"/>
        </w:rPr>
        <w:t xml:space="preserve">. W </w:t>
      </w:r>
      <w:r w:rsidR="00AE5EBE">
        <w:rPr>
          <w:rFonts w:cstheme="minorHAnsi"/>
          <w:szCs w:val="24"/>
        </w:rPr>
        <w:t>drugim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S/F </w:t>
      </w:r>
      <w:r w:rsidR="00977AF0">
        <w:rPr>
          <w:rFonts w:cstheme="minorHAnsi"/>
          <w:szCs w:val="24"/>
        </w:rPr>
        <w:t>spadł</w:t>
      </w:r>
      <w:r w:rsidRPr="00E401F0">
        <w:rPr>
          <w:rFonts w:cstheme="minorHAnsi"/>
          <w:szCs w:val="24"/>
        </w:rPr>
        <w:t xml:space="preserve"> o </w:t>
      </w:r>
      <w:r w:rsidR="000070E8">
        <w:rPr>
          <w:rFonts w:cstheme="minorHAnsi"/>
          <w:szCs w:val="24"/>
        </w:rPr>
        <w:t>0,8</w:t>
      </w:r>
      <w:r w:rsidR="000070E8" w:rsidRPr="00E401F0">
        <w:rPr>
          <w:rFonts w:cstheme="minorHAnsi"/>
          <w:szCs w:val="24"/>
        </w:rPr>
        <w:t xml:space="preserve"> </w:t>
      </w:r>
      <w:r w:rsidR="00F71965">
        <w:rPr>
          <w:rFonts w:cstheme="minorHAnsi"/>
          <w:szCs w:val="24"/>
        </w:rPr>
        <w:t>punkt</w:t>
      </w:r>
      <w:r w:rsidR="000070E8">
        <w:rPr>
          <w:rFonts w:cstheme="minorHAnsi"/>
          <w:szCs w:val="24"/>
        </w:rPr>
        <w:t>u</w:t>
      </w:r>
      <w:r w:rsidR="00F71965">
        <w:rPr>
          <w:rFonts w:cstheme="minorHAnsi"/>
          <w:szCs w:val="24"/>
        </w:rPr>
        <w:t xml:space="preserve"> procentow</w:t>
      </w:r>
      <w:r w:rsidR="000070E8">
        <w:rPr>
          <w:rFonts w:cstheme="minorHAnsi"/>
          <w:szCs w:val="24"/>
        </w:rPr>
        <w:t>ego</w:t>
      </w:r>
      <w:r w:rsidRPr="00E401F0">
        <w:rPr>
          <w:rFonts w:cstheme="minorHAnsi"/>
          <w:szCs w:val="24"/>
        </w:rPr>
        <w:t xml:space="preserve"> w stosunku do </w:t>
      </w:r>
      <w:r w:rsidR="000070E8">
        <w:rPr>
          <w:rFonts w:cstheme="minorHAnsi"/>
          <w:szCs w:val="24"/>
        </w:rPr>
        <w:t>drugiego</w:t>
      </w:r>
      <w:r w:rsidR="000070E8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kwartał</w:t>
      </w:r>
      <w:r w:rsidR="000070E8">
        <w:rPr>
          <w:rFonts w:cstheme="minorHAnsi"/>
          <w:szCs w:val="24"/>
        </w:rPr>
        <w:t>u</w:t>
      </w:r>
      <w:r w:rsidR="004E65B5">
        <w:rPr>
          <w:rFonts w:cstheme="minorHAnsi"/>
          <w:szCs w:val="24"/>
        </w:rPr>
        <w:t xml:space="preserve"> 202</w:t>
      </w:r>
      <w:r w:rsidR="000070E8">
        <w:rPr>
          <w:rFonts w:cstheme="minorHAnsi"/>
          <w:szCs w:val="24"/>
        </w:rPr>
        <w:t>4 roku</w:t>
      </w:r>
      <w:r w:rsidR="004E65B5">
        <w:rPr>
          <w:rFonts w:cstheme="minorHAnsi"/>
          <w:szCs w:val="24"/>
        </w:rPr>
        <w:t xml:space="preserve"> </w:t>
      </w:r>
      <w:r w:rsidR="00977AF0">
        <w:rPr>
          <w:rFonts w:cstheme="minorHAnsi"/>
          <w:szCs w:val="24"/>
        </w:rPr>
        <w:t xml:space="preserve">i wyniósł </w:t>
      </w:r>
      <w:r w:rsidR="000070E8">
        <w:rPr>
          <w:rFonts w:cstheme="minorHAnsi"/>
          <w:szCs w:val="24"/>
        </w:rPr>
        <w:t>79,4</w:t>
      </w:r>
      <w:r w:rsidR="00977AF0">
        <w:rPr>
          <w:rFonts w:cstheme="minorHAnsi"/>
          <w:szCs w:val="24"/>
        </w:rPr>
        <w:t>%</w:t>
      </w:r>
      <w:r w:rsidRPr="00E401F0">
        <w:rPr>
          <w:rFonts w:cstheme="minorHAnsi"/>
          <w:szCs w:val="24"/>
        </w:rPr>
        <w:t xml:space="preserve">. </w:t>
      </w:r>
    </w:p>
    <w:p w14:paraId="3516C810" w14:textId="1B06BFFB"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Współczynnik LF</w:t>
      </w:r>
      <w:r w:rsidR="00977AF0" w:rsidRPr="00977AF0">
        <w:rPr>
          <w:rFonts w:cstheme="minorHAnsi"/>
          <w:szCs w:val="24"/>
        </w:rPr>
        <w:t xml:space="preserve"> </w:t>
      </w:r>
      <w:r w:rsidR="00977AF0">
        <w:rPr>
          <w:rFonts w:cstheme="minorHAnsi"/>
          <w:szCs w:val="24"/>
        </w:rPr>
        <w:t>dla przewoźników sieciowych w ruchu międzynarodowym</w:t>
      </w:r>
      <w:r w:rsidRPr="00E401F0">
        <w:rPr>
          <w:rFonts w:cstheme="minorHAnsi"/>
          <w:szCs w:val="24"/>
        </w:rPr>
        <w:t xml:space="preserve"> miał następujące </w:t>
      </w:r>
      <w:r w:rsidR="001E017F">
        <w:rPr>
          <w:rFonts w:cstheme="minorHAnsi"/>
          <w:szCs w:val="24"/>
        </w:rPr>
        <w:t>spadki punktów procentowych</w:t>
      </w:r>
      <w:r w:rsidR="001E017F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w stosunku </w:t>
      </w:r>
      <w:r w:rsidR="00DA3C9A">
        <w:rPr>
          <w:rFonts w:cstheme="minorHAnsi"/>
          <w:szCs w:val="24"/>
        </w:rPr>
        <w:t xml:space="preserve">do </w:t>
      </w:r>
      <w:r w:rsidR="004E65B5">
        <w:rPr>
          <w:rFonts w:cstheme="minorHAnsi"/>
          <w:szCs w:val="24"/>
        </w:rPr>
        <w:t>półrocza</w:t>
      </w:r>
      <w:r w:rsidR="005C03F8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i </w:t>
      </w:r>
      <w:r w:rsidR="00AE5EBE">
        <w:rPr>
          <w:rFonts w:cstheme="minorHAnsi"/>
          <w:szCs w:val="24"/>
        </w:rPr>
        <w:t>drugiego</w:t>
      </w:r>
      <w:r w:rsidR="00727FF9" w:rsidRPr="00E401F0">
        <w:rPr>
          <w:rFonts w:cstheme="minorHAnsi"/>
          <w:szCs w:val="24"/>
        </w:rPr>
        <w:t xml:space="preserve"> kwartału</w:t>
      </w:r>
      <w:r w:rsidR="004E65B5">
        <w:rPr>
          <w:rFonts w:cstheme="minorHAnsi"/>
          <w:szCs w:val="24"/>
        </w:rPr>
        <w:t xml:space="preserve"> </w:t>
      </w:r>
      <w:r w:rsidR="000070E8">
        <w:rPr>
          <w:rFonts w:cstheme="minorHAnsi"/>
          <w:szCs w:val="24"/>
        </w:rPr>
        <w:t>2024</w:t>
      </w:r>
      <w:r w:rsidR="000070E8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roku: </w:t>
      </w:r>
      <w:r w:rsidR="004E65B5">
        <w:rPr>
          <w:rFonts w:cstheme="minorHAnsi"/>
          <w:szCs w:val="24"/>
        </w:rPr>
        <w:t>-</w:t>
      </w:r>
      <w:r w:rsidR="000070E8">
        <w:rPr>
          <w:rFonts w:cstheme="minorHAnsi"/>
          <w:szCs w:val="24"/>
        </w:rPr>
        <w:t>1,2</w:t>
      </w:r>
      <w:r w:rsidR="00977AF0">
        <w:rPr>
          <w:rFonts w:cstheme="minorHAnsi"/>
          <w:szCs w:val="24"/>
        </w:rPr>
        <w:t xml:space="preserve"> </w:t>
      </w:r>
      <w:r w:rsidR="00AE5EBE">
        <w:rPr>
          <w:rFonts w:cstheme="minorHAnsi"/>
          <w:szCs w:val="24"/>
        </w:rPr>
        <w:t>punkt</w:t>
      </w:r>
      <w:r w:rsidR="004E65B5">
        <w:rPr>
          <w:rFonts w:cstheme="minorHAnsi"/>
          <w:szCs w:val="24"/>
        </w:rPr>
        <w:t>u procentowego</w:t>
      </w:r>
      <w:r w:rsidR="00977AF0">
        <w:rPr>
          <w:rFonts w:cstheme="minorHAnsi"/>
          <w:szCs w:val="24"/>
        </w:rPr>
        <w:t xml:space="preserve"> i -</w:t>
      </w:r>
      <w:r w:rsidR="004E65B5">
        <w:rPr>
          <w:rFonts w:cstheme="minorHAnsi"/>
          <w:szCs w:val="24"/>
        </w:rPr>
        <w:t>1</w:t>
      </w:r>
      <w:r w:rsidR="000070E8">
        <w:rPr>
          <w:rFonts w:cstheme="minorHAnsi"/>
          <w:szCs w:val="24"/>
        </w:rPr>
        <w:t>,1</w:t>
      </w:r>
      <w:r w:rsidRPr="00E401F0">
        <w:rPr>
          <w:rFonts w:cstheme="minorHAnsi"/>
          <w:szCs w:val="24"/>
        </w:rPr>
        <w:t xml:space="preserve"> </w:t>
      </w:r>
      <w:r w:rsidR="000070E8">
        <w:rPr>
          <w:rFonts w:cstheme="minorHAnsi"/>
          <w:szCs w:val="24"/>
        </w:rPr>
        <w:t>punktu procentowego</w:t>
      </w:r>
      <w:r w:rsidR="001E017F">
        <w:rPr>
          <w:rFonts w:cstheme="minorHAnsi"/>
          <w:szCs w:val="24"/>
        </w:rPr>
        <w:t>. Wskaźnik ten</w:t>
      </w:r>
      <w:r w:rsidR="00977AF0">
        <w:rPr>
          <w:rFonts w:cstheme="minorHAnsi"/>
          <w:szCs w:val="24"/>
        </w:rPr>
        <w:t xml:space="preserve"> wyniósł </w:t>
      </w:r>
      <w:r w:rsidR="000070E8">
        <w:rPr>
          <w:rFonts w:cstheme="minorHAnsi"/>
          <w:szCs w:val="24"/>
        </w:rPr>
        <w:t>81,8</w:t>
      </w:r>
      <w:r w:rsidR="00977AF0">
        <w:rPr>
          <w:rFonts w:cstheme="minorHAnsi"/>
          <w:szCs w:val="24"/>
        </w:rPr>
        <w:t xml:space="preserve">% w </w:t>
      </w:r>
      <w:r w:rsidR="004E65B5">
        <w:rPr>
          <w:rFonts w:cstheme="minorHAnsi"/>
          <w:szCs w:val="24"/>
        </w:rPr>
        <w:t>półroczu</w:t>
      </w:r>
      <w:r w:rsidR="00977AF0">
        <w:rPr>
          <w:rFonts w:cstheme="minorHAnsi"/>
          <w:szCs w:val="24"/>
        </w:rPr>
        <w:t xml:space="preserve"> oraz </w:t>
      </w:r>
      <w:r w:rsidR="000070E8">
        <w:rPr>
          <w:rFonts w:cstheme="minorHAnsi"/>
          <w:szCs w:val="24"/>
        </w:rPr>
        <w:t>81,4</w:t>
      </w:r>
      <w:r w:rsidR="00977AF0">
        <w:rPr>
          <w:rFonts w:cstheme="minorHAnsi"/>
          <w:szCs w:val="24"/>
        </w:rPr>
        <w:t xml:space="preserve">% w </w:t>
      </w:r>
      <w:r w:rsidR="00AE5EBE">
        <w:rPr>
          <w:rFonts w:cstheme="minorHAnsi"/>
          <w:szCs w:val="24"/>
        </w:rPr>
        <w:t>drugim</w:t>
      </w:r>
      <w:r w:rsidR="004E65B5">
        <w:rPr>
          <w:rFonts w:cstheme="minorHAnsi"/>
          <w:szCs w:val="24"/>
        </w:rPr>
        <w:t xml:space="preserve"> kwartale 202</w:t>
      </w:r>
      <w:r w:rsidR="000070E8">
        <w:rPr>
          <w:rFonts w:cstheme="minorHAnsi"/>
          <w:szCs w:val="24"/>
        </w:rPr>
        <w:t>5</w:t>
      </w:r>
      <w:r w:rsidR="00977AF0">
        <w:rPr>
          <w:rFonts w:cstheme="minorHAnsi"/>
          <w:szCs w:val="24"/>
        </w:rPr>
        <w:t xml:space="preserve"> r</w:t>
      </w:r>
      <w:r w:rsidR="004E65B5">
        <w:rPr>
          <w:rFonts w:cstheme="minorHAnsi"/>
          <w:szCs w:val="24"/>
        </w:rPr>
        <w:t>oku</w:t>
      </w:r>
      <w:r w:rsidR="00977AF0">
        <w:rPr>
          <w:rFonts w:cstheme="minorHAnsi"/>
          <w:szCs w:val="24"/>
        </w:rPr>
        <w:t>.</w:t>
      </w:r>
    </w:p>
    <w:p w14:paraId="4605F0A5" w14:textId="5D8BEBC2" w:rsidR="00F27BCD" w:rsidRDefault="007D47FC" w:rsidP="00F27BCD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6673C503" wp14:editId="56F6DA0A">
            <wp:extent cx="3600000" cy="1922400"/>
            <wp:effectExtent l="0" t="0" r="635" b="1905"/>
            <wp:docPr id="11" name="Wykres 11" descr="Wykres przedstawia porównanie zmian punktów procentowych wskaźnika LF w ruchu międzynarodowym dla przewoźników niskokosztowych i sieciowych w minionych kwartałach roku bieżącego i poprzedniego. Dane przedstawione w Tabeli 22.2 poniżej." title="Wykres 22.2 Porównanie zmian punktów procentowych LF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1FAFD245" w14:textId="7CC456D4" w:rsidR="00F27BCD" w:rsidRPr="00E401F0" w:rsidRDefault="00F27BCD" w:rsidP="009A4597">
      <w:pPr>
        <w:pStyle w:val="Legenda"/>
        <w:rPr>
          <w:rFonts w:cstheme="minorHAnsi"/>
          <w:szCs w:val="24"/>
        </w:rPr>
      </w:pPr>
      <w:bookmarkStart w:id="103" w:name="_Toc219462815"/>
      <w:r w:rsidRPr="00F27BCD">
        <w:rPr>
          <w:b/>
        </w:rPr>
        <w:t xml:space="preserve">Wykres </w:t>
      </w:r>
      <w:r w:rsidRPr="00F27BCD">
        <w:rPr>
          <w:b/>
        </w:rPr>
        <w:fldChar w:fldCharType="begin"/>
      </w:r>
      <w:r w:rsidRPr="00F27BCD">
        <w:rPr>
          <w:b/>
        </w:rPr>
        <w:instrText xml:space="preserve"> STYLEREF 1 \s </w:instrText>
      </w:r>
      <w:r w:rsidRPr="00F27BCD">
        <w:rPr>
          <w:b/>
        </w:rPr>
        <w:fldChar w:fldCharType="separate"/>
      </w:r>
      <w:r w:rsidRPr="00F27BCD">
        <w:rPr>
          <w:b/>
          <w:noProof/>
        </w:rPr>
        <w:t>22</w:t>
      </w:r>
      <w:r w:rsidRPr="00F27BCD">
        <w:rPr>
          <w:b/>
        </w:rPr>
        <w:fldChar w:fldCharType="end"/>
      </w:r>
      <w:r w:rsidRPr="00F27BCD">
        <w:rPr>
          <w:b/>
        </w:rPr>
        <w:t>.</w:t>
      </w:r>
      <w:r w:rsidRPr="00F27BCD">
        <w:rPr>
          <w:b/>
        </w:rPr>
        <w:fldChar w:fldCharType="begin"/>
      </w:r>
      <w:r w:rsidRPr="00F27BCD">
        <w:rPr>
          <w:b/>
        </w:rPr>
        <w:instrText xml:space="preserve"> SEQ Wykres \* ARABIC \s 1 </w:instrText>
      </w:r>
      <w:r w:rsidRPr="00F27BCD">
        <w:rPr>
          <w:b/>
        </w:rPr>
        <w:fldChar w:fldCharType="separate"/>
      </w:r>
      <w:r w:rsidRPr="00F27BCD">
        <w:rPr>
          <w:b/>
          <w:noProof/>
        </w:rPr>
        <w:t>2</w:t>
      </w:r>
      <w:r w:rsidRPr="00F27BCD">
        <w:rPr>
          <w:b/>
        </w:rPr>
        <w:fldChar w:fldCharType="end"/>
      </w:r>
      <w:r w:rsidR="000070E8">
        <w:rPr>
          <w:b/>
        </w:rPr>
        <w:t xml:space="preserve"> </w:t>
      </w:r>
      <w:r w:rsidR="001B72F1" w:rsidRPr="001B72F1">
        <w:rPr>
          <w:noProof/>
        </w:rPr>
        <w:t>Porównanie zmian punktów procentowych LF w ruchu międzynarodowym dla przewoźników LCC i sieciowych – wykres przedstawia porównanie zmian punktów procentowych wskaźnika LF w ruchu międzynarodowym dla przewoźników niskokosztowych i sieciowych w pierwszej połowie 2025 i 2024 roku</w:t>
      </w:r>
      <w:bookmarkEnd w:id="103"/>
    </w:p>
    <w:tbl>
      <w:tblPr>
        <w:tblW w:w="3660" w:type="dxa"/>
        <w:jc w:val="center"/>
        <w:tbl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2.2 Porównanie zmian punktów procentowych LF przewoźników LCC i sieciowych"/>
        <w:tblDescription w:val="Tabela przedstawia porównanie zmian punktów procentowych wskaźnika LF przewoźników niskokosztowych i sieciowych w minionych kwartałach roku bieżącego i poprzedniego."/>
      </w:tblPr>
      <w:tblGrid>
        <w:gridCol w:w="2220"/>
        <w:gridCol w:w="1440"/>
      </w:tblGrid>
      <w:tr w:rsidR="002E4EA4" w:rsidRPr="00E401F0" w14:paraId="5FAE242E" w14:textId="77777777" w:rsidTr="00086DF6">
        <w:trPr>
          <w:trHeight w:val="317"/>
          <w:tblHeader/>
          <w:jc w:val="center"/>
        </w:trPr>
        <w:tc>
          <w:tcPr>
            <w:tcW w:w="2220" w:type="dxa"/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227343" w14:textId="77777777" w:rsidR="002E4EA4" w:rsidRPr="00E401F0" w:rsidRDefault="002E4EA4" w:rsidP="005C03F8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Typ przewoźnika</w:t>
            </w:r>
          </w:p>
        </w:tc>
        <w:tc>
          <w:tcPr>
            <w:tcW w:w="1440" w:type="dxa"/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ACB525" w14:textId="77777777" w:rsidR="002E4EA4" w:rsidRPr="00E401F0" w:rsidRDefault="002E4EA4" w:rsidP="005C03F8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Wartość</w:t>
            </w:r>
          </w:p>
        </w:tc>
      </w:tr>
      <w:tr w:rsidR="00F00187" w:rsidRPr="00E401F0" w14:paraId="537B7554" w14:textId="77777777" w:rsidTr="00086DF6">
        <w:trPr>
          <w:trHeight w:val="317"/>
          <w:jc w:val="center"/>
        </w:trPr>
        <w:tc>
          <w:tcPr>
            <w:tcW w:w="22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AEED73" w14:textId="77777777" w:rsidR="00F00187" w:rsidRPr="00F27BCD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27BCD">
              <w:rPr>
                <w:rFonts w:cstheme="minorHAnsi"/>
                <w:color w:val="283772"/>
                <w:szCs w:val="24"/>
              </w:rPr>
              <w:t>Sieciowi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D82E77" w14:textId="226D8E0E" w:rsidR="00F00187" w:rsidRPr="00F00187" w:rsidRDefault="00F00187" w:rsidP="009A459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00187">
              <w:rPr>
                <w:rFonts w:cstheme="minorHAnsi"/>
                <w:color w:val="283772"/>
                <w:szCs w:val="24"/>
              </w:rPr>
              <w:t>-</w:t>
            </w:r>
            <w:r w:rsidR="007D47FC">
              <w:rPr>
                <w:rFonts w:cstheme="minorHAnsi"/>
                <w:color w:val="283772"/>
                <w:szCs w:val="24"/>
              </w:rPr>
              <w:t>1,20</w:t>
            </w:r>
            <w:r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F00187" w:rsidRPr="00E401F0" w14:paraId="501240F4" w14:textId="77777777" w:rsidTr="00086DF6">
        <w:trPr>
          <w:trHeight w:val="317"/>
          <w:jc w:val="center"/>
        </w:trPr>
        <w:tc>
          <w:tcPr>
            <w:tcW w:w="2220" w:type="dxa"/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50F926" w14:textId="77777777" w:rsidR="00F00187" w:rsidRPr="00F27BCD" w:rsidRDefault="00F00187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27BCD">
              <w:rPr>
                <w:rFonts w:cstheme="minorHAnsi"/>
                <w:color w:val="283772"/>
                <w:szCs w:val="24"/>
              </w:rPr>
              <w:t>Niskokosztowi</w:t>
            </w:r>
          </w:p>
        </w:tc>
        <w:tc>
          <w:tcPr>
            <w:tcW w:w="1440" w:type="dxa"/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72F448" w14:textId="1BE9CF8E" w:rsidR="00F00187" w:rsidRPr="00F00187" w:rsidRDefault="007D47FC" w:rsidP="00F00187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>
              <w:rPr>
                <w:rFonts w:cstheme="minorHAnsi"/>
                <w:color w:val="283772"/>
                <w:szCs w:val="24"/>
              </w:rPr>
              <w:t>0,92</w:t>
            </w:r>
            <w:r w:rsidR="00F00187" w:rsidRPr="00F00187">
              <w:rPr>
                <w:rFonts w:cstheme="minorHAnsi"/>
                <w:color w:val="283772"/>
                <w:szCs w:val="24"/>
              </w:rPr>
              <w:t>%</w:t>
            </w:r>
          </w:p>
        </w:tc>
      </w:tr>
    </w:tbl>
    <w:p w14:paraId="1F936D88" w14:textId="1857CACD" w:rsidR="00086DF6" w:rsidRDefault="005C03F8" w:rsidP="00086DF6">
      <w:pPr>
        <w:pStyle w:val="Legenda"/>
        <w:rPr>
          <w:i w:val="0"/>
          <w:iCs w:val="0"/>
          <w:noProof/>
        </w:rPr>
      </w:pPr>
      <w:bookmarkStart w:id="104" w:name="_Toc216787160"/>
      <w:r w:rsidRPr="00E401F0">
        <w:rPr>
          <w:b/>
        </w:rPr>
        <w:t xml:space="preserve">Tabela </w:t>
      </w:r>
      <w:r w:rsidRPr="00E401F0">
        <w:rPr>
          <w:b/>
        </w:rPr>
        <w:fldChar w:fldCharType="begin"/>
      </w:r>
      <w:r w:rsidRPr="00E401F0">
        <w:rPr>
          <w:b/>
        </w:rPr>
        <w:instrText xml:space="preserve"> STYLEREF 1 \s </w:instrText>
      </w:r>
      <w:r w:rsidRPr="00E401F0">
        <w:rPr>
          <w:b/>
        </w:rPr>
        <w:fldChar w:fldCharType="separate"/>
      </w:r>
      <w:r w:rsidRPr="00E401F0">
        <w:rPr>
          <w:b/>
          <w:noProof/>
        </w:rPr>
        <w:t>22</w:t>
      </w:r>
      <w:r w:rsidRPr="00E401F0">
        <w:rPr>
          <w:b/>
        </w:rPr>
        <w:fldChar w:fldCharType="end"/>
      </w:r>
      <w:r w:rsidRPr="00E401F0">
        <w:rPr>
          <w:b/>
        </w:rPr>
        <w:t>.</w:t>
      </w:r>
      <w:r w:rsidRPr="00E401F0">
        <w:rPr>
          <w:b/>
        </w:rPr>
        <w:fldChar w:fldCharType="begin"/>
      </w:r>
      <w:r w:rsidRPr="00E401F0">
        <w:rPr>
          <w:b/>
        </w:rPr>
        <w:instrText xml:space="preserve"> SEQ Tabela \* ARABIC \s 1 </w:instrText>
      </w:r>
      <w:r w:rsidRPr="00E401F0">
        <w:rPr>
          <w:b/>
        </w:rPr>
        <w:fldChar w:fldCharType="separate"/>
      </w:r>
      <w:r w:rsidRPr="00E401F0">
        <w:rPr>
          <w:b/>
          <w:noProof/>
        </w:rPr>
        <w:t>2</w:t>
      </w:r>
      <w:r w:rsidRPr="00E401F0">
        <w:rPr>
          <w:b/>
        </w:rPr>
        <w:fldChar w:fldCharType="end"/>
      </w:r>
      <w:r w:rsidRPr="00E401F0">
        <w:rPr>
          <w:noProof/>
        </w:rPr>
        <w:t xml:space="preserve"> Porównanie zmian punktów procentowych LF</w:t>
      </w:r>
      <w:r w:rsidR="00F5163A" w:rsidRPr="00E401F0">
        <w:rPr>
          <w:noProof/>
        </w:rPr>
        <w:t xml:space="preserve"> </w:t>
      </w:r>
      <w:r w:rsidR="00F27BCD">
        <w:rPr>
          <w:noProof/>
        </w:rPr>
        <w:t>w ruchu międzynarodowym dla</w:t>
      </w:r>
      <w:r w:rsidR="00F27BCD" w:rsidRPr="00E401F0">
        <w:rPr>
          <w:noProof/>
        </w:rPr>
        <w:t xml:space="preserve"> </w:t>
      </w:r>
      <w:r w:rsidR="00F5163A" w:rsidRPr="00E401F0">
        <w:rPr>
          <w:noProof/>
        </w:rPr>
        <w:t>przewoźników LCC i sieciowyc</w:t>
      </w:r>
      <w:r w:rsidR="009A4597">
        <w:rPr>
          <w:noProof/>
        </w:rPr>
        <w:t>h</w:t>
      </w:r>
      <w:bookmarkEnd w:id="104"/>
      <w:r w:rsidR="00086DF6">
        <w:rPr>
          <w:noProof/>
        </w:rPr>
        <w:br w:type="page"/>
      </w:r>
    </w:p>
    <w:p w14:paraId="67BC755D" w14:textId="77777777" w:rsidR="005C03F8" w:rsidRPr="00E401F0" w:rsidRDefault="00251929" w:rsidP="00251929">
      <w:pPr>
        <w:pStyle w:val="Nagwek1"/>
        <w:rPr>
          <w:noProof/>
        </w:rPr>
      </w:pPr>
      <w:bookmarkStart w:id="105" w:name="_Toc178665064"/>
      <w:r w:rsidRPr="00E401F0">
        <w:rPr>
          <w:noProof/>
        </w:rPr>
        <w:lastRenderedPageBreak/>
        <w:t>Spis wykresów</w:t>
      </w:r>
      <w:bookmarkEnd w:id="105"/>
    </w:p>
    <w:p w14:paraId="6EB445D6" w14:textId="02CF0775" w:rsidR="00050164" w:rsidRPr="00050164" w:rsidRDefault="005C03F8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r w:rsidRPr="00050164">
        <w:rPr>
          <w:noProof/>
        </w:rPr>
        <w:fldChar w:fldCharType="begin"/>
      </w:r>
      <w:r w:rsidRPr="00050164">
        <w:rPr>
          <w:noProof/>
        </w:rPr>
        <w:instrText xml:space="preserve"> TOC \h \z \c "Wykres" </w:instrText>
      </w:r>
      <w:r w:rsidRPr="00050164">
        <w:rPr>
          <w:noProof/>
        </w:rPr>
        <w:fldChar w:fldCharType="separate"/>
      </w:r>
      <w:hyperlink w:anchor="_Toc219462780" w:history="1">
        <w:r w:rsidR="00050164" w:rsidRPr="00050164">
          <w:rPr>
            <w:rStyle w:val="Hipercze"/>
            <w:b/>
            <w:noProof/>
          </w:rPr>
          <w:t>Wykres 3.1</w:t>
        </w:r>
        <w:r w:rsidR="00050164" w:rsidRPr="00050164">
          <w:rPr>
            <w:rStyle w:val="Hipercze"/>
            <w:noProof/>
          </w:rPr>
          <w:t xml:space="preserve"> </w:t>
        </w:r>
        <w:r w:rsidR="00050164" w:rsidRPr="00050164">
          <w:rPr>
            <w:rStyle w:val="Hipercze"/>
            <w:rFonts w:ascii="Calibri" w:eastAsia="Times New Roman" w:hAnsi="Calibri" w:cs="Calibri"/>
            <w:noProof/>
            <w:lang w:eastAsia="pl-PL"/>
          </w:rPr>
          <w:t>Liczba pasażerów (mln) – narastająco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_Toc219462780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7</w:t>
        </w:r>
        <w:r w:rsidR="00050164" w:rsidRPr="00050164">
          <w:rPr>
            <w:noProof/>
            <w:webHidden/>
          </w:rPr>
          <w:fldChar w:fldCharType="end"/>
        </w:r>
      </w:hyperlink>
    </w:p>
    <w:p w14:paraId="14E8195B" w14:textId="6FB13635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781" w:history="1">
        <w:r w:rsidR="00050164" w:rsidRPr="00050164">
          <w:rPr>
            <w:rStyle w:val="Hipercze"/>
            <w:b/>
            <w:noProof/>
          </w:rPr>
          <w:t>Wykres 4.1</w:t>
        </w:r>
        <w:r w:rsidR="00050164" w:rsidRPr="00050164">
          <w:rPr>
            <w:rStyle w:val="Hipercze"/>
            <w:noProof/>
          </w:rPr>
          <w:t xml:space="preserve"> Liczba pasażerów (mln) – kwartał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_Toc219462781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8</w:t>
        </w:r>
        <w:r w:rsidR="00050164" w:rsidRPr="00050164">
          <w:rPr>
            <w:noProof/>
            <w:webHidden/>
          </w:rPr>
          <w:fldChar w:fldCharType="end"/>
        </w:r>
      </w:hyperlink>
    </w:p>
    <w:p w14:paraId="27218037" w14:textId="4CC2141A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782" w:history="1">
        <w:r w:rsidR="00050164" w:rsidRPr="00050164">
          <w:rPr>
            <w:rStyle w:val="Hipercze"/>
            <w:b/>
            <w:noProof/>
          </w:rPr>
          <w:t>Wykres 5.1</w:t>
        </w:r>
        <w:r w:rsidR="00050164" w:rsidRPr="00050164">
          <w:rPr>
            <w:rStyle w:val="Hipercze"/>
            <w:noProof/>
          </w:rPr>
          <w:t xml:space="preserve"> Liczba operacji (tys.) – kwartał</w:t>
        </w:r>
        <w:r w:rsidR="00050164">
          <w:rPr>
            <w:rStyle w:val="Hipercze"/>
            <w:noProof/>
          </w:rPr>
          <w:t xml:space="preserve"> 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_Toc219462782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9</w:t>
        </w:r>
        <w:r w:rsidR="00050164" w:rsidRPr="00050164">
          <w:rPr>
            <w:noProof/>
            <w:webHidden/>
          </w:rPr>
          <w:fldChar w:fldCharType="end"/>
        </w:r>
      </w:hyperlink>
    </w:p>
    <w:p w14:paraId="4B4094BF" w14:textId="0D430420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783" w:history="1">
        <w:r w:rsidR="00050164" w:rsidRPr="00050164">
          <w:rPr>
            <w:rStyle w:val="Hipercze"/>
            <w:b/>
            <w:noProof/>
          </w:rPr>
          <w:t>Wykres 6.1</w:t>
        </w:r>
        <w:r w:rsidR="00050164" w:rsidRPr="00050164">
          <w:rPr>
            <w:rStyle w:val="Hipercze"/>
            <w:noProof/>
          </w:rPr>
          <w:t xml:space="preserve"> Liczba operacji (tys.) – kwartał</w:t>
        </w:r>
        <w:r w:rsidR="00050164">
          <w:rPr>
            <w:rStyle w:val="Hipercze"/>
            <w:noProof/>
          </w:rPr>
          <w:t xml:space="preserve"> 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_Toc219462783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11</w:t>
        </w:r>
        <w:r w:rsidR="00050164" w:rsidRPr="00050164">
          <w:rPr>
            <w:noProof/>
            <w:webHidden/>
          </w:rPr>
          <w:fldChar w:fldCharType="end"/>
        </w:r>
      </w:hyperlink>
    </w:p>
    <w:p w14:paraId="07974A44" w14:textId="4949FC17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784" w:history="1">
        <w:r w:rsidR="00050164" w:rsidRPr="00050164">
          <w:rPr>
            <w:rStyle w:val="Hipercze"/>
            <w:b/>
            <w:noProof/>
          </w:rPr>
          <w:t>Wykres 7.1</w:t>
        </w:r>
        <w:r w:rsidR="00050164" w:rsidRPr="00050164">
          <w:rPr>
            <w:rStyle w:val="Hipercze"/>
            <w:noProof/>
          </w:rPr>
          <w:t>. Ilość cargo „on board” (tys. ton) – narastająco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_Toc219462784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12</w:t>
        </w:r>
        <w:r w:rsidR="00050164" w:rsidRPr="00050164">
          <w:rPr>
            <w:noProof/>
            <w:webHidden/>
          </w:rPr>
          <w:fldChar w:fldCharType="end"/>
        </w:r>
      </w:hyperlink>
    </w:p>
    <w:p w14:paraId="5208D53D" w14:textId="0A77E825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785" w:history="1">
        <w:r w:rsidR="00050164" w:rsidRPr="00050164">
          <w:rPr>
            <w:rStyle w:val="Hipercze"/>
            <w:b/>
            <w:noProof/>
          </w:rPr>
          <w:t>Wykres 8.1</w:t>
        </w:r>
        <w:r w:rsidR="00050164" w:rsidRPr="00050164">
          <w:rPr>
            <w:rStyle w:val="Hipercze"/>
            <w:noProof/>
          </w:rPr>
          <w:t>. Ilość cargo „on board” (tys. ton) – kwartał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_Toc219462785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13</w:t>
        </w:r>
        <w:r w:rsidR="00050164" w:rsidRPr="00050164">
          <w:rPr>
            <w:noProof/>
            <w:webHidden/>
          </w:rPr>
          <w:fldChar w:fldCharType="end"/>
        </w:r>
      </w:hyperlink>
    </w:p>
    <w:p w14:paraId="37E96A64" w14:textId="51C3E7F6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786" w:history="1">
        <w:r w:rsidR="00050164" w:rsidRPr="00050164">
          <w:rPr>
            <w:rStyle w:val="Hipercze"/>
            <w:b/>
            <w:noProof/>
          </w:rPr>
          <w:t>Wykres 9.1</w:t>
        </w:r>
        <w:r w:rsidR="00050164" w:rsidRPr="00050164">
          <w:rPr>
            <w:rStyle w:val="Hipercze"/>
            <w:noProof/>
          </w:rPr>
          <w:t xml:space="preserve">. </w:t>
        </w:r>
        <w:r w:rsidR="00050164" w:rsidRPr="00050164">
          <w:rPr>
            <w:rStyle w:val="Hipercze"/>
            <w:rFonts w:ascii="Calibri" w:eastAsia="Times New Roman" w:hAnsi="Calibri" w:cs="Calibri"/>
            <w:noProof/>
            <w:lang w:eastAsia="pl-PL"/>
          </w:rPr>
          <w:t>Dynamika ruchu 2025 vs. 2024</w:t>
        </w:r>
        <w:r w:rsidR="00050164">
          <w:rPr>
            <w:rStyle w:val="Hipercze"/>
            <w:rFonts w:ascii="Calibri" w:eastAsia="Times New Roman" w:hAnsi="Calibri" w:cs="Calibri"/>
            <w:noProof/>
            <w:lang w:eastAsia="pl-PL"/>
          </w:rPr>
          <w:t xml:space="preserve"> 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_Toc219462786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13</w:t>
        </w:r>
        <w:r w:rsidR="00050164" w:rsidRPr="00050164">
          <w:rPr>
            <w:noProof/>
            <w:webHidden/>
          </w:rPr>
          <w:fldChar w:fldCharType="end"/>
        </w:r>
      </w:hyperlink>
    </w:p>
    <w:p w14:paraId="10A34104" w14:textId="575FEB21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787" w:history="1">
        <w:r w:rsidR="00050164" w:rsidRPr="00050164">
          <w:rPr>
            <w:rStyle w:val="Hipercze"/>
            <w:b/>
            <w:iCs/>
            <w:noProof/>
          </w:rPr>
          <w:t>Wykres 9.2.</w:t>
        </w:r>
        <w:r w:rsidR="00050164" w:rsidRPr="00050164">
          <w:rPr>
            <w:rStyle w:val="Hipercze"/>
            <w:noProof/>
          </w:rPr>
          <w:t xml:space="preserve"> </w:t>
        </w:r>
        <w:r w:rsidR="00050164" w:rsidRPr="00050164">
          <w:rPr>
            <w:rStyle w:val="Hipercze"/>
            <w:rFonts w:ascii="Calibri" w:eastAsia="Times New Roman" w:hAnsi="Calibri" w:cs="Calibri"/>
            <w:iCs/>
            <w:noProof/>
            <w:lang w:eastAsia="pl-PL"/>
          </w:rPr>
          <w:t>Dynamika ruchu 2025 vs. 2023</w:t>
        </w:r>
        <w:r w:rsidR="00050164">
          <w:rPr>
            <w:rStyle w:val="Hipercze"/>
            <w:rFonts w:ascii="Calibri" w:eastAsia="Times New Roman" w:hAnsi="Calibri" w:cs="Calibri"/>
            <w:iCs/>
            <w:noProof/>
            <w:lang w:eastAsia="pl-PL"/>
          </w:rPr>
          <w:t xml:space="preserve"> 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_Toc219462787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14</w:t>
        </w:r>
        <w:r w:rsidR="00050164" w:rsidRPr="00050164">
          <w:rPr>
            <w:noProof/>
            <w:webHidden/>
          </w:rPr>
          <w:fldChar w:fldCharType="end"/>
        </w:r>
      </w:hyperlink>
    </w:p>
    <w:p w14:paraId="62020341" w14:textId="67222FF6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788" w:history="1">
        <w:r w:rsidR="00050164" w:rsidRPr="00050164">
          <w:rPr>
            <w:rStyle w:val="Hipercze"/>
            <w:b/>
            <w:noProof/>
          </w:rPr>
          <w:t>Wykres 9.3</w:t>
        </w:r>
        <w:r w:rsidR="00050164" w:rsidRPr="00050164">
          <w:rPr>
            <w:rStyle w:val="Hipercze"/>
            <w:noProof/>
          </w:rPr>
          <w:t xml:space="preserve"> </w:t>
        </w:r>
        <w:r w:rsidR="00050164" w:rsidRPr="00050164">
          <w:rPr>
            <w:rStyle w:val="Hipercze"/>
            <w:rFonts w:ascii="Calibri" w:eastAsia="Times New Roman" w:hAnsi="Calibri" w:cs="Calibri"/>
            <w:noProof/>
            <w:lang w:eastAsia="pl-PL"/>
          </w:rPr>
          <w:t>Miesięczne przewozy pasażerskie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_Toc219462788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15</w:t>
        </w:r>
        <w:r w:rsidR="00050164" w:rsidRPr="00050164">
          <w:rPr>
            <w:noProof/>
            <w:webHidden/>
          </w:rPr>
          <w:fldChar w:fldCharType="end"/>
        </w:r>
      </w:hyperlink>
    </w:p>
    <w:p w14:paraId="0243B56D" w14:textId="5E57A348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789" w:history="1">
        <w:r w:rsidR="00050164" w:rsidRPr="00050164">
          <w:rPr>
            <w:rStyle w:val="Hipercze"/>
            <w:b/>
            <w:noProof/>
          </w:rPr>
          <w:t>Wykres 10.1</w:t>
        </w:r>
        <w:r w:rsidR="00050164">
          <w:rPr>
            <w:rStyle w:val="Hipercze"/>
            <w:noProof/>
          </w:rPr>
          <w:t xml:space="preserve"> Dynamika całego rynku 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_Toc219462789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16</w:t>
        </w:r>
        <w:r w:rsidR="00050164" w:rsidRPr="00050164">
          <w:rPr>
            <w:noProof/>
            <w:webHidden/>
          </w:rPr>
          <w:fldChar w:fldCharType="end"/>
        </w:r>
      </w:hyperlink>
    </w:p>
    <w:p w14:paraId="7A93BDC8" w14:textId="2303483B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790" w:history="1">
        <w:r w:rsidR="00050164" w:rsidRPr="00050164">
          <w:rPr>
            <w:rStyle w:val="Hipercze"/>
            <w:b/>
            <w:noProof/>
          </w:rPr>
          <w:t>Wykres 10.2</w:t>
        </w:r>
        <w:r w:rsidR="00050164" w:rsidRPr="00050164">
          <w:rPr>
            <w:rStyle w:val="Hipercze"/>
            <w:noProof/>
          </w:rPr>
          <w:t xml:space="preserve">. </w:t>
        </w:r>
        <w:r w:rsidR="00050164" w:rsidRPr="00050164">
          <w:rPr>
            <w:rStyle w:val="Hipercze"/>
            <w:iCs/>
            <w:noProof/>
          </w:rPr>
          <w:t>Dynamika WAW i KRK</w:t>
        </w:r>
        <w:r w:rsidR="00050164">
          <w:rPr>
            <w:rStyle w:val="Hipercze"/>
            <w:iCs/>
            <w:noProof/>
          </w:rPr>
          <w:t xml:space="preserve"> 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_Toc219462790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17</w:t>
        </w:r>
        <w:r w:rsidR="00050164" w:rsidRPr="00050164">
          <w:rPr>
            <w:noProof/>
            <w:webHidden/>
          </w:rPr>
          <w:fldChar w:fldCharType="end"/>
        </w:r>
      </w:hyperlink>
    </w:p>
    <w:p w14:paraId="10E4A1CA" w14:textId="7FB3CEDA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791" w:history="1">
        <w:r w:rsidR="00050164" w:rsidRPr="00050164">
          <w:rPr>
            <w:rStyle w:val="Hipercze"/>
            <w:b/>
            <w:noProof/>
          </w:rPr>
          <w:t xml:space="preserve">Wykres 10.3 </w:t>
        </w:r>
        <w:r w:rsidR="00050164" w:rsidRPr="00050164">
          <w:rPr>
            <w:rStyle w:val="Hipercze"/>
            <w:noProof/>
          </w:rPr>
          <w:t>Dynamika portów obsługujących 1-10 mln pasażerów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_Toc219462791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18</w:t>
        </w:r>
        <w:r w:rsidR="00050164" w:rsidRPr="00050164">
          <w:rPr>
            <w:noProof/>
            <w:webHidden/>
          </w:rPr>
          <w:fldChar w:fldCharType="end"/>
        </w:r>
      </w:hyperlink>
    </w:p>
    <w:p w14:paraId="2E1F7DCD" w14:textId="61BFD362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792" w:history="1">
        <w:r w:rsidR="00050164" w:rsidRPr="00050164">
          <w:rPr>
            <w:rStyle w:val="Hipercze"/>
            <w:b/>
            <w:noProof/>
          </w:rPr>
          <w:t xml:space="preserve">Wykres 10.4. </w:t>
        </w:r>
        <w:r w:rsidR="00050164" w:rsidRPr="00050164">
          <w:rPr>
            <w:rStyle w:val="Hipercze"/>
            <w:noProof/>
          </w:rPr>
          <w:t>Dynamika portów obsługujących poniżej 1 mln pasażerów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_Toc219462792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19</w:t>
        </w:r>
        <w:r w:rsidR="00050164" w:rsidRPr="00050164">
          <w:rPr>
            <w:noProof/>
            <w:webHidden/>
          </w:rPr>
          <w:fldChar w:fldCharType="end"/>
        </w:r>
      </w:hyperlink>
    </w:p>
    <w:p w14:paraId="0929FCE4" w14:textId="6DEECDA2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793" w:history="1">
        <w:r w:rsidR="00050164" w:rsidRPr="00050164">
          <w:rPr>
            <w:rStyle w:val="Hipercze"/>
            <w:b/>
            <w:noProof/>
          </w:rPr>
          <w:t>Wykres 10.5</w:t>
        </w:r>
        <w:r w:rsidR="00050164" w:rsidRPr="00050164">
          <w:rPr>
            <w:rStyle w:val="Hipercze"/>
            <w:noProof/>
          </w:rPr>
          <w:t>. Zmiana przewozów pasażerskich – kwartał</w:t>
        </w:r>
        <w:r w:rsidR="00050164">
          <w:rPr>
            <w:rStyle w:val="Hipercze"/>
            <w:noProof/>
          </w:rPr>
          <w:t xml:space="preserve"> 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_Toc219462793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20</w:t>
        </w:r>
        <w:r w:rsidR="00050164" w:rsidRPr="00050164">
          <w:rPr>
            <w:noProof/>
            <w:webHidden/>
          </w:rPr>
          <w:fldChar w:fldCharType="end"/>
        </w:r>
      </w:hyperlink>
    </w:p>
    <w:p w14:paraId="2AD75B05" w14:textId="6FACCE6B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794" w:history="1">
        <w:r w:rsidR="00050164" w:rsidRPr="00050164">
          <w:rPr>
            <w:rStyle w:val="Hipercze"/>
            <w:b/>
            <w:noProof/>
          </w:rPr>
          <w:t>Wykres 10.6</w:t>
        </w:r>
        <w:r w:rsidR="00050164" w:rsidRPr="00050164">
          <w:rPr>
            <w:rStyle w:val="Hipercze"/>
            <w:noProof/>
          </w:rPr>
          <w:t xml:space="preserve"> </w:t>
        </w:r>
        <w:r w:rsidR="00050164" w:rsidRPr="00050164">
          <w:rPr>
            <w:rStyle w:val="Hipercze"/>
            <w:rFonts w:ascii="Calibri" w:eastAsia="Times New Roman" w:hAnsi="Calibri" w:cs="Calibri"/>
            <w:noProof/>
            <w:lang w:eastAsia="pl-PL"/>
          </w:rPr>
          <w:t>Zmiana pr</w:t>
        </w:r>
        <w:r w:rsidR="00050164">
          <w:rPr>
            <w:rStyle w:val="Hipercze"/>
            <w:rFonts w:ascii="Calibri" w:eastAsia="Times New Roman" w:hAnsi="Calibri" w:cs="Calibri"/>
            <w:noProof/>
            <w:lang w:eastAsia="pl-PL"/>
          </w:rPr>
          <w:t xml:space="preserve">zewozów pasażerskich – kwartał 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_Toc219462794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21</w:t>
        </w:r>
        <w:r w:rsidR="00050164" w:rsidRPr="00050164">
          <w:rPr>
            <w:noProof/>
            <w:webHidden/>
          </w:rPr>
          <w:fldChar w:fldCharType="end"/>
        </w:r>
      </w:hyperlink>
    </w:p>
    <w:p w14:paraId="22CB9E64" w14:textId="1829480C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795" w:history="1">
        <w:r w:rsidR="00050164" w:rsidRPr="00050164">
          <w:rPr>
            <w:rStyle w:val="Hipercze"/>
            <w:b/>
            <w:noProof/>
          </w:rPr>
          <w:t>Wykres 11.1</w:t>
        </w:r>
        <w:r w:rsidR="00050164" w:rsidRPr="00050164">
          <w:rPr>
            <w:rStyle w:val="Hipercze"/>
            <w:noProof/>
          </w:rPr>
          <w:t xml:space="preserve"> </w:t>
        </w:r>
        <w:r w:rsidR="00050164" w:rsidRPr="00050164">
          <w:rPr>
            <w:rStyle w:val="Hipercze"/>
            <w:rFonts w:ascii="Calibri" w:eastAsia="Times New Roman" w:hAnsi="Calibri" w:cs="Calibri"/>
            <w:noProof/>
            <w:lang w:eastAsia="pl-PL"/>
          </w:rPr>
          <w:t>Przewozy międzynarodowe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_Toc219462795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23</w:t>
        </w:r>
        <w:r w:rsidR="00050164" w:rsidRPr="00050164">
          <w:rPr>
            <w:noProof/>
            <w:webHidden/>
          </w:rPr>
          <w:fldChar w:fldCharType="end"/>
        </w:r>
      </w:hyperlink>
    </w:p>
    <w:p w14:paraId="7888386B" w14:textId="34FC816E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796" w:history="1">
        <w:r w:rsidR="00050164" w:rsidRPr="00050164">
          <w:rPr>
            <w:rStyle w:val="Hipercze"/>
            <w:b/>
            <w:noProof/>
          </w:rPr>
          <w:t>Wykres 13.1</w:t>
        </w:r>
        <w:r w:rsidR="00050164" w:rsidRPr="00050164">
          <w:rPr>
            <w:rStyle w:val="Hipercze"/>
            <w:noProof/>
          </w:rPr>
          <w:t xml:space="preserve"> </w:t>
        </w:r>
        <w:r w:rsidR="00050164" w:rsidRPr="00050164">
          <w:rPr>
            <w:rStyle w:val="Hipercze"/>
            <w:rFonts w:ascii="Calibri" w:eastAsia="Times New Roman" w:hAnsi="Calibri" w:cs="Calibri"/>
            <w:noProof/>
            <w:lang w:eastAsia="pl-PL"/>
          </w:rPr>
          <w:t>Liczba pasażerów regularnych w przewozach regularnych (mln)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_Toc219462796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25</w:t>
        </w:r>
        <w:r w:rsidR="00050164" w:rsidRPr="00050164">
          <w:rPr>
            <w:noProof/>
            <w:webHidden/>
          </w:rPr>
          <w:fldChar w:fldCharType="end"/>
        </w:r>
      </w:hyperlink>
    </w:p>
    <w:p w14:paraId="1CE955C3" w14:textId="74FBC2E8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797" w:history="1">
        <w:r w:rsidR="00050164" w:rsidRPr="00050164">
          <w:rPr>
            <w:rStyle w:val="Hipercze"/>
            <w:b/>
            <w:noProof/>
          </w:rPr>
          <w:t>Wykres 13.2</w:t>
        </w:r>
        <w:r w:rsidR="00050164" w:rsidRPr="00050164">
          <w:rPr>
            <w:rStyle w:val="Hipercze"/>
            <w:noProof/>
          </w:rPr>
          <w:t xml:space="preserve"> Dynamika ruchu regularnego – narastająco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_Toc219462797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25</w:t>
        </w:r>
        <w:r w:rsidR="00050164" w:rsidRPr="00050164">
          <w:rPr>
            <w:noProof/>
            <w:webHidden/>
          </w:rPr>
          <w:fldChar w:fldCharType="end"/>
        </w:r>
      </w:hyperlink>
    </w:p>
    <w:p w14:paraId="3E8BDB1A" w14:textId="3C7EE0B8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798" w:history="1">
        <w:r w:rsidR="00050164" w:rsidRPr="00050164">
          <w:rPr>
            <w:rStyle w:val="Hipercze"/>
            <w:b/>
            <w:noProof/>
          </w:rPr>
          <w:t>Wykres 14.2</w:t>
        </w:r>
        <w:r w:rsidR="00050164" w:rsidRPr="00050164">
          <w:rPr>
            <w:rStyle w:val="Hipercze"/>
            <w:noProof/>
          </w:rPr>
          <w:t xml:space="preserve"> Dynami</w:t>
        </w:r>
        <w:r w:rsidR="00050164">
          <w:rPr>
            <w:rStyle w:val="Hipercze"/>
            <w:noProof/>
          </w:rPr>
          <w:t xml:space="preserve">ka ruchu regularnego – kwartał 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_Toc219462798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27</w:t>
        </w:r>
        <w:r w:rsidR="00050164" w:rsidRPr="00050164">
          <w:rPr>
            <w:noProof/>
            <w:webHidden/>
          </w:rPr>
          <w:fldChar w:fldCharType="end"/>
        </w:r>
      </w:hyperlink>
    </w:p>
    <w:p w14:paraId="1661564E" w14:textId="716458B3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799" w:history="1">
        <w:r w:rsidR="00050164" w:rsidRPr="00050164">
          <w:rPr>
            <w:rStyle w:val="Hipercze"/>
            <w:b/>
            <w:noProof/>
          </w:rPr>
          <w:t>Wykres 15.1</w:t>
        </w:r>
        <w:r w:rsidR="00050164" w:rsidRPr="00050164">
          <w:rPr>
            <w:rStyle w:val="Hipercze"/>
            <w:noProof/>
          </w:rPr>
          <w:t>. Liczba pasażerów w przewozach czarterowych (mln) – narastająco</w:t>
        </w:r>
        <w:r w:rsidR="00050164">
          <w:rPr>
            <w:rStyle w:val="Hipercze"/>
            <w:noProof/>
          </w:rPr>
          <w:t xml:space="preserve"> 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_Toc219462799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28</w:t>
        </w:r>
        <w:r w:rsidR="00050164" w:rsidRPr="00050164">
          <w:rPr>
            <w:noProof/>
            <w:webHidden/>
          </w:rPr>
          <w:fldChar w:fldCharType="end"/>
        </w:r>
      </w:hyperlink>
    </w:p>
    <w:p w14:paraId="2F38AA5B" w14:textId="452F1909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800" w:history="1">
        <w:r w:rsidR="00050164" w:rsidRPr="00050164">
          <w:rPr>
            <w:rStyle w:val="Hipercze"/>
            <w:b/>
            <w:noProof/>
          </w:rPr>
          <w:t>Wykres 15.2</w:t>
        </w:r>
        <w:r w:rsidR="00050164" w:rsidRPr="00050164">
          <w:rPr>
            <w:rStyle w:val="Hipercze"/>
            <w:noProof/>
          </w:rPr>
          <w:t>. Dynamika ruchu czarterowego – narastająco</w:t>
        </w:r>
        <w:r w:rsidR="00050164">
          <w:rPr>
            <w:rStyle w:val="Hipercze"/>
            <w:noProof/>
          </w:rPr>
          <w:t xml:space="preserve"> 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_Toc219462800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28</w:t>
        </w:r>
        <w:r w:rsidR="00050164" w:rsidRPr="00050164">
          <w:rPr>
            <w:noProof/>
            <w:webHidden/>
          </w:rPr>
          <w:fldChar w:fldCharType="end"/>
        </w:r>
      </w:hyperlink>
    </w:p>
    <w:p w14:paraId="2BEC2B7E" w14:textId="71B7AC1E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801" w:history="1">
        <w:r w:rsidR="00050164" w:rsidRPr="00050164">
          <w:rPr>
            <w:rStyle w:val="Hipercze"/>
            <w:b/>
            <w:noProof/>
          </w:rPr>
          <w:t>Wykres 16.1</w:t>
        </w:r>
        <w:r w:rsidR="00050164" w:rsidRPr="00050164">
          <w:rPr>
            <w:rStyle w:val="Hipercze"/>
            <w:noProof/>
          </w:rPr>
          <w:t>. Liczba pasażerów w przewozac</w:t>
        </w:r>
        <w:r w:rsidR="00050164">
          <w:rPr>
            <w:rStyle w:val="Hipercze"/>
            <w:noProof/>
          </w:rPr>
          <w:t xml:space="preserve">h czarterowych (mln) – kwartał 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_Toc219462801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29</w:t>
        </w:r>
        <w:r w:rsidR="00050164" w:rsidRPr="00050164">
          <w:rPr>
            <w:noProof/>
            <w:webHidden/>
          </w:rPr>
          <w:fldChar w:fldCharType="end"/>
        </w:r>
      </w:hyperlink>
    </w:p>
    <w:p w14:paraId="1E4D50B9" w14:textId="3A1DBFE8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802" w:history="1">
        <w:r w:rsidR="00050164" w:rsidRPr="00050164">
          <w:rPr>
            <w:rStyle w:val="Hipercze"/>
            <w:b/>
            <w:noProof/>
          </w:rPr>
          <w:t>Wykres 16.2</w:t>
        </w:r>
        <w:r w:rsidR="00050164" w:rsidRPr="00050164">
          <w:rPr>
            <w:rStyle w:val="Hipercze"/>
            <w:noProof/>
          </w:rPr>
          <w:t>. Dynamika ruchu czarterowego – kwartał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_Toc219462802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30</w:t>
        </w:r>
        <w:r w:rsidR="00050164" w:rsidRPr="00050164">
          <w:rPr>
            <w:noProof/>
            <w:webHidden/>
          </w:rPr>
          <w:fldChar w:fldCharType="end"/>
        </w:r>
      </w:hyperlink>
    </w:p>
    <w:p w14:paraId="171E9BC8" w14:textId="2DAA5D91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803" w:history="1">
        <w:r w:rsidR="00050164" w:rsidRPr="00050164">
          <w:rPr>
            <w:rStyle w:val="Hipercze"/>
            <w:b/>
            <w:noProof/>
          </w:rPr>
          <w:t>Wykres 17.1</w:t>
        </w:r>
        <w:r w:rsidR="00050164" w:rsidRPr="00050164">
          <w:rPr>
            <w:rStyle w:val="Hipercze"/>
            <w:noProof/>
          </w:rPr>
          <w:t xml:space="preserve"> RPKM (mln) – narastająco</w:t>
        </w:r>
        <w:r w:rsidR="00050164">
          <w:rPr>
            <w:rStyle w:val="Hipercze"/>
            <w:noProof/>
          </w:rPr>
          <w:t xml:space="preserve"> 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_Toc219462803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31</w:t>
        </w:r>
        <w:r w:rsidR="00050164" w:rsidRPr="00050164">
          <w:rPr>
            <w:noProof/>
            <w:webHidden/>
          </w:rPr>
          <w:fldChar w:fldCharType="end"/>
        </w:r>
      </w:hyperlink>
    </w:p>
    <w:p w14:paraId="0C4B0194" w14:textId="60ADAA98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804" w:history="1">
        <w:r w:rsidR="00050164" w:rsidRPr="00050164">
          <w:rPr>
            <w:rStyle w:val="Hipercze"/>
            <w:b/>
            <w:noProof/>
          </w:rPr>
          <w:t>Wykres 17.2</w:t>
        </w:r>
        <w:r w:rsidR="00050164" w:rsidRPr="00050164">
          <w:rPr>
            <w:rStyle w:val="Hipercze"/>
            <w:noProof/>
          </w:rPr>
          <w:t xml:space="preserve"> RPKM porównanie z IATA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_Toc219462804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31</w:t>
        </w:r>
        <w:r w:rsidR="00050164" w:rsidRPr="00050164">
          <w:rPr>
            <w:noProof/>
            <w:webHidden/>
          </w:rPr>
          <w:fldChar w:fldCharType="end"/>
        </w:r>
      </w:hyperlink>
    </w:p>
    <w:p w14:paraId="34884DE7" w14:textId="7C4D4527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805" w:history="1">
        <w:r w:rsidR="00050164" w:rsidRPr="00050164">
          <w:rPr>
            <w:rStyle w:val="Hipercze"/>
            <w:b/>
            <w:noProof/>
          </w:rPr>
          <w:t>Wykres 17.3</w:t>
        </w:r>
        <w:r w:rsidR="00050164" w:rsidRPr="00050164">
          <w:rPr>
            <w:rStyle w:val="Hipercze"/>
            <w:noProof/>
          </w:rPr>
          <w:t xml:space="preserve"> RPKM (mln) – kwartał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_Toc219462805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32</w:t>
        </w:r>
        <w:r w:rsidR="00050164" w:rsidRPr="00050164">
          <w:rPr>
            <w:noProof/>
            <w:webHidden/>
          </w:rPr>
          <w:fldChar w:fldCharType="end"/>
        </w:r>
      </w:hyperlink>
    </w:p>
    <w:p w14:paraId="6C21672A" w14:textId="3B5C64EA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806" w:history="1">
        <w:r w:rsidR="00050164" w:rsidRPr="00050164">
          <w:rPr>
            <w:rStyle w:val="Hipercze"/>
            <w:b/>
            <w:noProof/>
          </w:rPr>
          <w:t xml:space="preserve">Wykres 18.1 </w:t>
        </w:r>
        <w:r w:rsidR="00050164" w:rsidRPr="00050164">
          <w:rPr>
            <w:rStyle w:val="Hipercze"/>
            <w:noProof/>
          </w:rPr>
          <w:t>ASKM (mln) – narastająco</w:t>
        </w:r>
        <w:r w:rsidR="00050164">
          <w:rPr>
            <w:rStyle w:val="Hipercze"/>
            <w:noProof/>
          </w:rPr>
          <w:t xml:space="preserve"> 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_Toc219462806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32</w:t>
        </w:r>
        <w:r w:rsidR="00050164" w:rsidRPr="00050164">
          <w:rPr>
            <w:noProof/>
            <w:webHidden/>
          </w:rPr>
          <w:fldChar w:fldCharType="end"/>
        </w:r>
      </w:hyperlink>
    </w:p>
    <w:p w14:paraId="587FA4B3" w14:textId="75D6E462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807" w:history="1">
        <w:r w:rsidR="00050164" w:rsidRPr="00050164">
          <w:rPr>
            <w:rStyle w:val="Hipercze"/>
            <w:b/>
            <w:noProof/>
          </w:rPr>
          <w:t>Wykres 18.2</w:t>
        </w:r>
        <w:r w:rsidR="00050164" w:rsidRPr="00050164">
          <w:rPr>
            <w:rStyle w:val="Hipercze"/>
            <w:noProof/>
          </w:rPr>
          <w:t xml:space="preserve"> ASKM porównanie z IATA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_Toc219462807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33</w:t>
        </w:r>
        <w:r w:rsidR="00050164" w:rsidRPr="00050164">
          <w:rPr>
            <w:noProof/>
            <w:webHidden/>
          </w:rPr>
          <w:fldChar w:fldCharType="end"/>
        </w:r>
      </w:hyperlink>
    </w:p>
    <w:p w14:paraId="33DE5D57" w14:textId="305AF813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808" w:history="1">
        <w:r w:rsidR="00050164" w:rsidRPr="00050164">
          <w:rPr>
            <w:rStyle w:val="Hipercze"/>
            <w:b/>
            <w:noProof/>
          </w:rPr>
          <w:t xml:space="preserve">Wykres 18.3 </w:t>
        </w:r>
        <w:r w:rsidR="00050164" w:rsidRPr="00050164">
          <w:rPr>
            <w:rStyle w:val="Hipercze"/>
            <w:noProof/>
          </w:rPr>
          <w:t>ASKM (mln) – kwartał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_Toc219462808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33</w:t>
        </w:r>
        <w:r w:rsidR="00050164" w:rsidRPr="00050164">
          <w:rPr>
            <w:noProof/>
            <w:webHidden/>
          </w:rPr>
          <w:fldChar w:fldCharType="end"/>
        </w:r>
      </w:hyperlink>
    </w:p>
    <w:p w14:paraId="74AFA52C" w14:textId="1117AFB2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809" w:history="1">
        <w:r w:rsidR="00050164" w:rsidRPr="00050164">
          <w:rPr>
            <w:rStyle w:val="Hipercze"/>
            <w:b/>
            <w:noProof/>
          </w:rPr>
          <w:t>Wykres 19.1</w:t>
        </w:r>
        <w:r w:rsidR="00050164">
          <w:rPr>
            <w:rStyle w:val="Hipercze"/>
            <w:noProof/>
          </w:rPr>
          <w:t xml:space="preserve"> LF – narastająco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_Toc219462809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34</w:t>
        </w:r>
        <w:r w:rsidR="00050164" w:rsidRPr="00050164">
          <w:rPr>
            <w:noProof/>
            <w:webHidden/>
          </w:rPr>
          <w:fldChar w:fldCharType="end"/>
        </w:r>
      </w:hyperlink>
    </w:p>
    <w:p w14:paraId="11608FA2" w14:textId="388B763A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810" w:history="1">
        <w:r w:rsidR="00050164" w:rsidRPr="00050164">
          <w:rPr>
            <w:rStyle w:val="Hipercze"/>
            <w:b/>
            <w:noProof/>
          </w:rPr>
          <w:t>Wykres 19.2</w:t>
        </w:r>
        <w:r w:rsidR="00050164" w:rsidRPr="00050164">
          <w:rPr>
            <w:rStyle w:val="Hipercze"/>
            <w:noProof/>
          </w:rPr>
          <w:t xml:space="preserve"> LF porównanie z IATA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_Toc219462810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35</w:t>
        </w:r>
        <w:r w:rsidR="00050164" w:rsidRPr="00050164">
          <w:rPr>
            <w:noProof/>
            <w:webHidden/>
          </w:rPr>
          <w:fldChar w:fldCharType="end"/>
        </w:r>
      </w:hyperlink>
    </w:p>
    <w:p w14:paraId="4072FD10" w14:textId="2C022C9D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811" w:history="1">
        <w:r w:rsidR="00050164" w:rsidRPr="00050164">
          <w:rPr>
            <w:rStyle w:val="Hipercze"/>
            <w:b/>
            <w:noProof/>
          </w:rPr>
          <w:t>Wykres 19.3</w:t>
        </w:r>
        <w:r w:rsidR="00050164">
          <w:rPr>
            <w:rStyle w:val="Hipercze"/>
            <w:noProof/>
          </w:rPr>
          <w:t xml:space="preserve"> LF – kwartał 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_Toc219462811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35</w:t>
        </w:r>
        <w:r w:rsidR="00050164" w:rsidRPr="00050164">
          <w:rPr>
            <w:noProof/>
            <w:webHidden/>
          </w:rPr>
          <w:fldChar w:fldCharType="end"/>
        </w:r>
      </w:hyperlink>
    </w:p>
    <w:p w14:paraId="16632608" w14:textId="257C68D0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812" w:history="1">
        <w:r w:rsidR="00050164" w:rsidRPr="00050164">
          <w:rPr>
            <w:rStyle w:val="Hipercze"/>
            <w:b/>
            <w:noProof/>
          </w:rPr>
          <w:t>Wykres 20.1</w:t>
        </w:r>
        <w:r w:rsidR="00050164" w:rsidRPr="00050164">
          <w:rPr>
            <w:rStyle w:val="Hipercze"/>
            <w:noProof/>
          </w:rPr>
          <w:t xml:space="preserve"> w rynku wg liczby przewiezionych pasażerów w ruchu międzynarodowym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_Toc219462812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36</w:t>
        </w:r>
        <w:r w:rsidR="00050164" w:rsidRPr="00050164">
          <w:rPr>
            <w:noProof/>
            <w:webHidden/>
          </w:rPr>
          <w:fldChar w:fldCharType="end"/>
        </w:r>
      </w:hyperlink>
    </w:p>
    <w:p w14:paraId="74B6C4DD" w14:textId="53A6D24D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813" w:history="1">
        <w:r w:rsidR="00050164" w:rsidRPr="00050164">
          <w:rPr>
            <w:rStyle w:val="Hipercze"/>
            <w:b/>
            <w:noProof/>
          </w:rPr>
          <w:t>Wykres 21.1</w:t>
        </w:r>
        <w:r w:rsidR="00050164" w:rsidRPr="00050164">
          <w:rPr>
            <w:rStyle w:val="Hipercze"/>
            <w:noProof/>
          </w:rPr>
          <w:t xml:space="preserve"> Udział w rynku ruchu międzynarodowego wg. modelu biznesowego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_Toc219462813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37</w:t>
        </w:r>
        <w:r w:rsidR="00050164" w:rsidRPr="00050164">
          <w:rPr>
            <w:noProof/>
            <w:webHidden/>
          </w:rPr>
          <w:fldChar w:fldCharType="end"/>
        </w:r>
      </w:hyperlink>
    </w:p>
    <w:p w14:paraId="22AB48D3" w14:textId="375EA3E9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814" w:history="1">
        <w:r w:rsidR="00050164" w:rsidRPr="00050164">
          <w:rPr>
            <w:rStyle w:val="Hipercze"/>
            <w:b/>
            <w:noProof/>
          </w:rPr>
          <w:t>Wykres 22.1</w:t>
        </w:r>
        <w:r w:rsidR="00050164" w:rsidRPr="00050164">
          <w:rPr>
            <w:rStyle w:val="Hipercze"/>
            <w:noProof/>
          </w:rPr>
          <w:t xml:space="preserve"> Porównanie dynamiki ruchu międzynarodowego przewoźników LCC i sieciowych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_Toc219462814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38</w:t>
        </w:r>
        <w:r w:rsidR="00050164" w:rsidRPr="00050164">
          <w:rPr>
            <w:noProof/>
            <w:webHidden/>
          </w:rPr>
          <w:fldChar w:fldCharType="end"/>
        </w:r>
      </w:hyperlink>
    </w:p>
    <w:p w14:paraId="201587EB" w14:textId="4AC6945C" w:rsidR="00050164" w:rsidRPr="00050164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9462815" w:history="1">
        <w:r w:rsidR="00050164" w:rsidRPr="00050164">
          <w:rPr>
            <w:rStyle w:val="Hipercze"/>
            <w:b/>
            <w:noProof/>
          </w:rPr>
          <w:t xml:space="preserve">Wykres 22.2 </w:t>
        </w:r>
        <w:r w:rsidR="00050164" w:rsidRPr="00050164">
          <w:rPr>
            <w:rStyle w:val="Hipercze"/>
            <w:noProof/>
          </w:rPr>
          <w:t>Porównanie zmian punktów procentowych LF w ruchu międzynarodowym dla przewoźników LCC i sieciowych</w:t>
        </w:r>
        <w:r w:rsidR="00050164" w:rsidRPr="00050164">
          <w:rPr>
            <w:noProof/>
            <w:webHidden/>
          </w:rPr>
          <w:tab/>
        </w:r>
        <w:r w:rsidR="00050164" w:rsidRPr="00050164">
          <w:rPr>
            <w:noProof/>
            <w:webHidden/>
          </w:rPr>
          <w:fldChar w:fldCharType="begin"/>
        </w:r>
        <w:r w:rsidR="00050164" w:rsidRPr="00050164">
          <w:rPr>
            <w:noProof/>
            <w:webHidden/>
          </w:rPr>
          <w:instrText xml:space="preserve"> PAGEREF _Toc219462815 \h </w:instrText>
        </w:r>
        <w:r w:rsidR="00050164" w:rsidRPr="00050164">
          <w:rPr>
            <w:noProof/>
            <w:webHidden/>
          </w:rPr>
        </w:r>
        <w:r w:rsidR="00050164" w:rsidRPr="00050164">
          <w:rPr>
            <w:noProof/>
            <w:webHidden/>
          </w:rPr>
          <w:fldChar w:fldCharType="separate"/>
        </w:r>
        <w:r w:rsidR="00050164" w:rsidRPr="00050164">
          <w:rPr>
            <w:noProof/>
            <w:webHidden/>
          </w:rPr>
          <w:t>39</w:t>
        </w:r>
        <w:r w:rsidR="00050164" w:rsidRPr="00050164">
          <w:rPr>
            <w:noProof/>
            <w:webHidden/>
          </w:rPr>
          <w:fldChar w:fldCharType="end"/>
        </w:r>
      </w:hyperlink>
    </w:p>
    <w:p w14:paraId="5D35120F" w14:textId="67597A43" w:rsidR="00071292" w:rsidRDefault="005C03F8" w:rsidP="0026119A">
      <w:pPr>
        <w:pStyle w:val="Nagwek1"/>
        <w:rPr>
          <w:noProof/>
        </w:rPr>
      </w:pPr>
      <w:r w:rsidRPr="00050164">
        <w:rPr>
          <w:noProof/>
        </w:rPr>
        <w:lastRenderedPageBreak/>
        <w:fldChar w:fldCharType="end"/>
      </w:r>
      <w:bookmarkStart w:id="106" w:name="_Toc178665065"/>
      <w:r w:rsidR="008D2117">
        <w:rPr>
          <w:noProof/>
        </w:rPr>
        <w:t>Spis tabel</w:t>
      </w:r>
      <w:bookmarkEnd w:id="106"/>
      <w:r w:rsidR="00251929" w:rsidRPr="00E401F0">
        <w:rPr>
          <w:noProof/>
        </w:rPr>
        <w:fldChar w:fldCharType="begin"/>
      </w:r>
      <w:r w:rsidR="00251929" w:rsidRPr="00E401F0">
        <w:rPr>
          <w:noProof/>
        </w:rPr>
        <w:instrText xml:space="preserve"> TOC \h \z \c "Tabela" </w:instrText>
      </w:r>
      <w:r w:rsidR="00251929" w:rsidRPr="00E401F0">
        <w:rPr>
          <w:noProof/>
        </w:rPr>
        <w:fldChar w:fldCharType="separate"/>
      </w:r>
    </w:p>
    <w:p w14:paraId="79981008" w14:textId="1ECA33DD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23" w:history="1">
        <w:r w:rsidR="00071292" w:rsidRPr="00EE2566">
          <w:rPr>
            <w:rStyle w:val="Hipercze"/>
            <w:b/>
            <w:noProof/>
          </w:rPr>
          <w:t>Tabela 3.1</w:t>
        </w:r>
        <w:r w:rsidR="00071292" w:rsidRPr="00EE2566">
          <w:rPr>
            <w:rStyle w:val="Hipercze"/>
            <w:noProof/>
          </w:rPr>
          <w:t xml:space="preserve"> Liczba pasażerów – narastająco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_Toc216787123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7</w:t>
        </w:r>
        <w:r w:rsidR="00071292">
          <w:rPr>
            <w:noProof/>
            <w:webHidden/>
          </w:rPr>
          <w:fldChar w:fldCharType="end"/>
        </w:r>
      </w:hyperlink>
    </w:p>
    <w:p w14:paraId="59AC06DB" w14:textId="17E8D585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24" w:history="1">
        <w:r w:rsidR="00071292" w:rsidRPr="00EE2566">
          <w:rPr>
            <w:rStyle w:val="Hipercze"/>
            <w:b/>
            <w:noProof/>
          </w:rPr>
          <w:t>Tabela 4.1</w:t>
        </w:r>
        <w:r w:rsidR="00071292" w:rsidRPr="00EE2566">
          <w:rPr>
            <w:rStyle w:val="Hipercze"/>
            <w:noProof/>
          </w:rPr>
          <w:t xml:space="preserve"> Liczba pasażerów – kwartał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_Toc216787124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8</w:t>
        </w:r>
        <w:r w:rsidR="00071292">
          <w:rPr>
            <w:noProof/>
            <w:webHidden/>
          </w:rPr>
          <w:fldChar w:fldCharType="end"/>
        </w:r>
      </w:hyperlink>
    </w:p>
    <w:p w14:paraId="378FD474" w14:textId="63A5DAE0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25" w:history="1">
        <w:r w:rsidR="00071292" w:rsidRPr="00EE2566">
          <w:rPr>
            <w:rStyle w:val="Hipercze"/>
            <w:b/>
            <w:noProof/>
          </w:rPr>
          <w:t>Tabela 5.1</w:t>
        </w:r>
        <w:r w:rsidR="00071292" w:rsidRPr="00EE2566">
          <w:rPr>
            <w:rStyle w:val="Hipercze"/>
            <w:noProof/>
          </w:rPr>
          <w:t xml:space="preserve"> Liczba operacji – narastająco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_Toc216787125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9</w:t>
        </w:r>
        <w:r w:rsidR="00071292">
          <w:rPr>
            <w:noProof/>
            <w:webHidden/>
          </w:rPr>
          <w:fldChar w:fldCharType="end"/>
        </w:r>
      </w:hyperlink>
    </w:p>
    <w:p w14:paraId="23D63844" w14:textId="313DE73A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26" w:history="1">
        <w:r w:rsidR="00071292" w:rsidRPr="00EE2566">
          <w:rPr>
            <w:rStyle w:val="Hipercze"/>
            <w:b/>
            <w:noProof/>
          </w:rPr>
          <w:t>Tabela 6.1</w:t>
        </w:r>
        <w:r w:rsidR="00071292" w:rsidRPr="00EE2566">
          <w:rPr>
            <w:rStyle w:val="Hipercze"/>
            <w:noProof/>
          </w:rPr>
          <w:t xml:space="preserve"> Liczba operacji – kwartał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_Toc216787126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11</w:t>
        </w:r>
        <w:r w:rsidR="00071292">
          <w:rPr>
            <w:noProof/>
            <w:webHidden/>
          </w:rPr>
          <w:fldChar w:fldCharType="end"/>
        </w:r>
      </w:hyperlink>
    </w:p>
    <w:p w14:paraId="6C393F2C" w14:textId="6C539B69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27" w:history="1">
        <w:r w:rsidR="00071292" w:rsidRPr="00EE2566">
          <w:rPr>
            <w:rStyle w:val="Hipercze"/>
            <w:b/>
            <w:noProof/>
          </w:rPr>
          <w:t>Tabela 7.1</w:t>
        </w:r>
        <w:r w:rsidR="00071292" w:rsidRPr="00EE2566">
          <w:rPr>
            <w:rStyle w:val="Hipercze"/>
            <w:noProof/>
          </w:rPr>
          <w:t xml:space="preserve"> Ilość cargo „on board” (ton) – narastająco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_Toc216787127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12</w:t>
        </w:r>
        <w:r w:rsidR="00071292">
          <w:rPr>
            <w:noProof/>
            <w:webHidden/>
          </w:rPr>
          <w:fldChar w:fldCharType="end"/>
        </w:r>
      </w:hyperlink>
    </w:p>
    <w:p w14:paraId="6B397D35" w14:textId="37FB919F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28" w:history="1">
        <w:r w:rsidR="00071292" w:rsidRPr="00EE2566">
          <w:rPr>
            <w:rStyle w:val="Hipercze"/>
            <w:b/>
            <w:noProof/>
          </w:rPr>
          <w:t>Tabela 8.1</w:t>
        </w:r>
        <w:r w:rsidR="00071292" w:rsidRPr="00EE2566">
          <w:rPr>
            <w:rStyle w:val="Hipercze"/>
            <w:noProof/>
          </w:rPr>
          <w:t xml:space="preserve"> Ilość cargo „on board” (ton) – kwartał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_Toc216787128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13</w:t>
        </w:r>
        <w:r w:rsidR="00071292">
          <w:rPr>
            <w:noProof/>
            <w:webHidden/>
          </w:rPr>
          <w:fldChar w:fldCharType="end"/>
        </w:r>
      </w:hyperlink>
    </w:p>
    <w:p w14:paraId="17854EC5" w14:textId="24EFEFC2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29" w:history="1">
        <w:r w:rsidR="00071292" w:rsidRPr="00EE2566">
          <w:rPr>
            <w:rStyle w:val="Hipercze"/>
            <w:rFonts w:cstheme="minorHAnsi"/>
            <w:b/>
            <w:noProof/>
          </w:rPr>
          <w:t>Ta</w:t>
        </w:r>
        <w:r w:rsidR="00071292" w:rsidRPr="00EE2566">
          <w:rPr>
            <w:rStyle w:val="Hipercze"/>
            <w:b/>
            <w:noProof/>
          </w:rPr>
          <w:t>bela 9.1</w:t>
        </w:r>
        <w:r w:rsidR="00071292" w:rsidRPr="00EE2566">
          <w:rPr>
            <w:rStyle w:val="Hipercze"/>
            <w:noProof/>
          </w:rPr>
          <w:t xml:space="preserve"> Dynamika ruchu 2025 vs. 2024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_Toc216787129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14</w:t>
        </w:r>
        <w:r w:rsidR="00071292">
          <w:rPr>
            <w:noProof/>
            <w:webHidden/>
          </w:rPr>
          <w:fldChar w:fldCharType="end"/>
        </w:r>
      </w:hyperlink>
    </w:p>
    <w:p w14:paraId="702BA06C" w14:textId="21AA3943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30" w:history="1">
        <w:r w:rsidR="00071292" w:rsidRPr="00EE2566">
          <w:rPr>
            <w:rStyle w:val="Hipercze"/>
            <w:b/>
            <w:i/>
            <w:noProof/>
          </w:rPr>
          <w:t>Tabela 9.2</w:t>
        </w:r>
        <w:r w:rsidR="00071292" w:rsidRPr="00EE2566">
          <w:rPr>
            <w:rStyle w:val="Hipercze"/>
            <w:i/>
            <w:noProof/>
          </w:rPr>
          <w:t xml:space="preserve"> Dynamika ruchu 2025 vs. 2023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_Toc216787130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14</w:t>
        </w:r>
        <w:r w:rsidR="00071292">
          <w:rPr>
            <w:noProof/>
            <w:webHidden/>
          </w:rPr>
          <w:fldChar w:fldCharType="end"/>
        </w:r>
      </w:hyperlink>
    </w:p>
    <w:p w14:paraId="54B64CAA" w14:textId="6B8586EA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31" w:history="1">
        <w:r w:rsidR="00071292" w:rsidRPr="00EE2566">
          <w:rPr>
            <w:rStyle w:val="Hipercze"/>
            <w:b/>
            <w:i/>
            <w:noProof/>
          </w:rPr>
          <w:t>Tabela 9.3</w:t>
        </w:r>
        <w:r w:rsidR="00071292" w:rsidRPr="00EE2566">
          <w:rPr>
            <w:rStyle w:val="Hipercze"/>
            <w:i/>
            <w:noProof/>
          </w:rPr>
          <w:t xml:space="preserve"> Miesięczne przewozy pasażerskie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_Toc216787131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15</w:t>
        </w:r>
        <w:r w:rsidR="00071292">
          <w:rPr>
            <w:noProof/>
            <w:webHidden/>
          </w:rPr>
          <w:fldChar w:fldCharType="end"/>
        </w:r>
      </w:hyperlink>
    </w:p>
    <w:p w14:paraId="70A7F24B" w14:textId="7B66CBBB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32" w:history="1">
        <w:r w:rsidR="00071292" w:rsidRPr="00EE2566">
          <w:rPr>
            <w:rStyle w:val="Hipercze"/>
            <w:b/>
            <w:noProof/>
          </w:rPr>
          <w:t>Tabela 10.1</w:t>
        </w:r>
        <w:r w:rsidR="00071292" w:rsidRPr="00EE2566">
          <w:rPr>
            <w:rStyle w:val="Hipercze"/>
            <w:noProof/>
          </w:rPr>
          <w:t xml:space="preserve"> Dynamika całego rynku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_Toc216787132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16</w:t>
        </w:r>
        <w:r w:rsidR="00071292">
          <w:rPr>
            <w:noProof/>
            <w:webHidden/>
          </w:rPr>
          <w:fldChar w:fldCharType="end"/>
        </w:r>
      </w:hyperlink>
    </w:p>
    <w:p w14:paraId="76070D98" w14:textId="540EC4CE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33" w:history="1">
        <w:r w:rsidR="00071292" w:rsidRPr="00EE2566">
          <w:rPr>
            <w:rStyle w:val="Hipercze"/>
            <w:b/>
            <w:noProof/>
          </w:rPr>
          <w:t>Tabela 10.2</w:t>
        </w:r>
        <w:r w:rsidR="00071292" w:rsidRPr="00EE2566">
          <w:rPr>
            <w:rStyle w:val="Hipercze"/>
            <w:noProof/>
          </w:rPr>
          <w:t xml:space="preserve"> Dynamika WAW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_Toc216787133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17</w:t>
        </w:r>
        <w:r w:rsidR="00071292">
          <w:rPr>
            <w:noProof/>
            <w:webHidden/>
          </w:rPr>
          <w:fldChar w:fldCharType="end"/>
        </w:r>
      </w:hyperlink>
    </w:p>
    <w:p w14:paraId="07A18538" w14:textId="0B0ABEEE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34" w:history="1">
        <w:r w:rsidR="00071292" w:rsidRPr="00EE2566">
          <w:rPr>
            <w:rStyle w:val="Hipercze"/>
            <w:b/>
            <w:noProof/>
          </w:rPr>
          <w:t>Tabela 10.3</w:t>
        </w:r>
        <w:r w:rsidR="00071292" w:rsidRPr="00EE2566">
          <w:rPr>
            <w:rStyle w:val="Hipercze"/>
            <w:noProof/>
          </w:rPr>
          <w:t xml:space="preserve"> Dynamika portów obsługujących 1-10 mln pasażerów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_Toc216787134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18</w:t>
        </w:r>
        <w:r w:rsidR="00071292">
          <w:rPr>
            <w:noProof/>
            <w:webHidden/>
          </w:rPr>
          <w:fldChar w:fldCharType="end"/>
        </w:r>
      </w:hyperlink>
    </w:p>
    <w:p w14:paraId="5A8078B4" w14:textId="2480515E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35" w:history="1">
        <w:r w:rsidR="00071292" w:rsidRPr="00EE2566">
          <w:rPr>
            <w:rStyle w:val="Hipercze"/>
            <w:b/>
            <w:noProof/>
          </w:rPr>
          <w:t>Tabela 10.4</w:t>
        </w:r>
        <w:r w:rsidR="00071292" w:rsidRPr="00EE2566">
          <w:rPr>
            <w:rStyle w:val="Hipercze"/>
            <w:noProof/>
          </w:rPr>
          <w:t xml:space="preserve"> Dynamika portów obsługujących poniżej 1 mln pasażerów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_Toc216787135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19</w:t>
        </w:r>
        <w:r w:rsidR="00071292">
          <w:rPr>
            <w:noProof/>
            <w:webHidden/>
          </w:rPr>
          <w:fldChar w:fldCharType="end"/>
        </w:r>
      </w:hyperlink>
    </w:p>
    <w:p w14:paraId="0DA3768C" w14:textId="31963CB1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36" w:history="1">
        <w:r w:rsidR="00071292" w:rsidRPr="00EE2566">
          <w:rPr>
            <w:rStyle w:val="Hipercze"/>
            <w:b/>
            <w:noProof/>
          </w:rPr>
          <w:t>Tabela 10.5</w:t>
        </w:r>
        <w:r w:rsidR="00071292" w:rsidRPr="00EE2566">
          <w:rPr>
            <w:rStyle w:val="Hipercze"/>
            <w:noProof/>
          </w:rPr>
          <w:t xml:space="preserve"> Zmiana przewozów pasażerskich - narastająco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_Toc216787136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20</w:t>
        </w:r>
        <w:r w:rsidR="00071292">
          <w:rPr>
            <w:noProof/>
            <w:webHidden/>
          </w:rPr>
          <w:fldChar w:fldCharType="end"/>
        </w:r>
      </w:hyperlink>
    </w:p>
    <w:p w14:paraId="53079494" w14:textId="3E76411A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37" w:history="1">
        <w:r w:rsidR="00071292" w:rsidRPr="00EE2566">
          <w:rPr>
            <w:rStyle w:val="Hipercze"/>
            <w:b/>
            <w:noProof/>
          </w:rPr>
          <w:t>Tabela 10.6</w:t>
        </w:r>
        <w:r w:rsidR="00071292" w:rsidRPr="00EE2566">
          <w:rPr>
            <w:rStyle w:val="Hipercze"/>
            <w:noProof/>
          </w:rPr>
          <w:t xml:space="preserve"> Zmiana przewozów pasażerskich – kwartał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_Toc216787137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22</w:t>
        </w:r>
        <w:r w:rsidR="00071292">
          <w:rPr>
            <w:noProof/>
            <w:webHidden/>
          </w:rPr>
          <w:fldChar w:fldCharType="end"/>
        </w:r>
      </w:hyperlink>
    </w:p>
    <w:p w14:paraId="64DBC2B0" w14:textId="0325CB50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38" w:history="1">
        <w:r w:rsidR="00071292" w:rsidRPr="00EE2566">
          <w:rPr>
            <w:rStyle w:val="Hipercze"/>
            <w:b/>
            <w:noProof/>
          </w:rPr>
          <w:t>Tabela 11.1</w:t>
        </w:r>
        <w:r w:rsidR="00071292" w:rsidRPr="00EE2566">
          <w:rPr>
            <w:rStyle w:val="Hipercze"/>
            <w:noProof/>
          </w:rPr>
          <w:t xml:space="preserve"> Przewozy międzynarodowe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_Toc216787138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23</w:t>
        </w:r>
        <w:r w:rsidR="00071292">
          <w:rPr>
            <w:noProof/>
            <w:webHidden/>
          </w:rPr>
          <w:fldChar w:fldCharType="end"/>
        </w:r>
      </w:hyperlink>
    </w:p>
    <w:p w14:paraId="5DC8BA5E" w14:textId="2ED100CE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39" w:history="1">
        <w:r w:rsidR="00071292" w:rsidRPr="00EE2566">
          <w:rPr>
            <w:rStyle w:val="Hipercze"/>
            <w:b/>
            <w:noProof/>
          </w:rPr>
          <w:t>Tabela 12.1</w:t>
        </w:r>
        <w:r w:rsidR="00071292" w:rsidRPr="00EE2566">
          <w:rPr>
            <w:rStyle w:val="Hipercze"/>
            <w:noProof/>
          </w:rPr>
          <w:t xml:space="preserve"> Przewozy krajowe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_Toc216787139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24</w:t>
        </w:r>
        <w:r w:rsidR="00071292">
          <w:rPr>
            <w:noProof/>
            <w:webHidden/>
          </w:rPr>
          <w:fldChar w:fldCharType="end"/>
        </w:r>
      </w:hyperlink>
    </w:p>
    <w:p w14:paraId="78A29F95" w14:textId="0DB4D3AD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40" w:history="1">
        <w:r w:rsidR="00071292" w:rsidRPr="00EE2566">
          <w:rPr>
            <w:rStyle w:val="Hipercze"/>
            <w:b/>
            <w:noProof/>
          </w:rPr>
          <w:t>Tabela 13.1</w:t>
        </w:r>
        <w:r w:rsidR="00071292" w:rsidRPr="00EE2566">
          <w:rPr>
            <w:rStyle w:val="Hipercze"/>
            <w:noProof/>
          </w:rPr>
          <w:t xml:space="preserve"> Liczba pasażerów regularnych – narastająco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_Toc216787140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25</w:t>
        </w:r>
        <w:r w:rsidR="00071292">
          <w:rPr>
            <w:noProof/>
            <w:webHidden/>
          </w:rPr>
          <w:fldChar w:fldCharType="end"/>
        </w:r>
      </w:hyperlink>
    </w:p>
    <w:p w14:paraId="11D10580" w14:textId="5E4344EC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41" w:history="1">
        <w:r w:rsidR="00071292" w:rsidRPr="00EE2566">
          <w:rPr>
            <w:rStyle w:val="Hipercze"/>
            <w:b/>
            <w:noProof/>
          </w:rPr>
          <w:t>Tabela 13.2</w:t>
        </w:r>
        <w:r w:rsidR="00071292" w:rsidRPr="00EE2566">
          <w:rPr>
            <w:rStyle w:val="Hipercze"/>
            <w:noProof/>
          </w:rPr>
          <w:t xml:space="preserve"> Dynamika ruchu regularnego – narastająco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_Toc216787141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25</w:t>
        </w:r>
        <w:r w:rsidR="00071292">
          <w:rPr>
            <w:noProof/>
            <w:webHidden/>
          </w:rPr>
          <w:fldChar w:fldCharType="end"/>
        </w:r>
      </w:hyperlink>
    </w:p>
    <w:p w14:paraId="1ACCC868" w14:textId="50520911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42" w:history="1">
        <w:r w:rsidR="00071292" w:rsidRPr="00EE2566">
          <w:rPr>
            <w:rStyle w:val="Hipercze"/>
            <w:b/>
            <w:noProof/>
          </w:rPr>
          <w:t>Tabela 14.1</w:t>
        </w:r>
        <w:r w:rsidR="00071292" w:rsidRPr="00EE2566">
          <w:rPr>
            <w:rStyle w:val="Hipercze"/>
            <w:noProof/>
          </w:rPr>
          <w:t xml:space="preserve"> Liczba pasażerów regularnych – kwartał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_Toc216787142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26</w:t>
        </w:r>
        <w:r w:rsidR="00071292">
          <w:rPr>
            <w:noProof/>
            <w:webHidden/>
          </w:rPr>
          <w:fldChar w:fldCharType="end"/>
        </w:r>
      </w:hyperlink>
    </w:p>
    <w:p w14:paraId="3D310D81" w14:textId="260213CD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43" w:history="1">
        <w:r w:rsidR="00071292" w:rsidRPr="00EE2566">
          <w:rPr>
            <w:rStyle w:val="Hipercze"/>
            <w:b/>
            <w:noProof/>
          </w:rPr>
          <w:t>Tabela 14.2</w:t>
        </w:r>
        <w:r w:rsidR="00071292" w:rsidRPr="00EE2566">
          <w:rPr>
            <w:rStyle w:val="Hipercze"/>
            <w:noProof/>
          </w:rPr>
          <w:t xml:space="preserve"> Dynamika ruchu regularnego – kwartał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_Toc216787143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27</w:t>
        </w:r>
        <w:r w:rsidR="00071292">
          <w:rPr>
            <w:noProof/>
            <w:webHidden/>
          </w:rPr>
          <w:fldChar w:fldCharType="end"/>
        </w:r>
      </w:hyperlink>
    </w:p>
    <w:p w14:paraId="1DDFF1E5" w14:textId="6AF07788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44" w:history="1">
        <w:r w:rsidR="00071292" w:rsidRPr="00EE2566">
          <w:rPr>
            <w:rStyle w:val="Hipercze"/>
            <w:b/>
            <w:noProof/>
          </w:rPr>
          <w:t>Tabela 15.1</w:t>
        </w:r>
        <w:r w:rsidR="00071292" w:rsidRPr="00EE2566">
          <w:rPr>
            <w:rStyle w:val="Hipercze"/>
            <w:noProof/>
          </w:rPr>
          <w:t xml:space="preserve"> Liczba pasażerów czarterowych – narastająco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_Toc216787144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28</w:t>
        </w:r>
        <w:r w:rsidR="00071292">
          <w:rPr>
            <w:noProof/>
            <w:webHidden/>
          </w:rPr>
          <w:fldChar w:fldCharType="end"/>
        </w:r>
      </w:hyperlink>
    </w:p>
    <w:p w14:paraId="334FA47A" w14:textId="3C8DD078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45" w:history="1">
        <w:r w:rsidR="00071292" w:rsidRPr="00EE2566">
          <w:rPr>
            <w:rStyle w:val="Hipercze"/>
            <w:b/>
            <w:noProof/>
          </w:rPr>
          <w:t>Tabela 15.2</w:t>
        </w:r>
        <w:r w:rsidR="00071292" w:rsidRPr="00EE2566">
          <w:rPr>
            <w:rStyle w:val="Hipercze"/>
            <w:noProof/>
          </w:rPr>
          <w:t xml:space="preserve"> Dynamika ruchu czarterowego – narastająco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_Toc216787145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28</w:t>
        </w:r>
        <w:r w:rsidR="00071292">
          <w:rPr>
            <w:noProof/>
            <w:webHidden/>
          </w:rPr>
          <w:fldChar w:fldCharType="end"/>
        </w:r>
      </w:hyperlink>
    </w:p>
    <w:p w14:paraId="11659E56" w14:textId="2556E53D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46" w:history="1">
        <w:r w:rsidR="00071292" w:rsidRPr="00EE2566">
          <w:rPr>
            <w:rStyle w:val="Hipercze"/>
            <w:b/>
            <w:noProof/>
          </w:rPr>
          <w:t>Tabela 16.1</w:t>
        </w:r>
        <w:r w:rsidR="00071292" w:rsidRPr="00EE2566">
          <w:rPr>
            <w:rStyle w:val="Hipercze"/>
            <w:noProof/>
          </w:rPr>
          <w:t xml:space="preserve"> Liczba pasażerów czarterowych – kwartał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_Toc216787146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29</w:t>
        </w:r>
        <w:r w:rsidR="00071292">
          <w:rPr>
            <w:noProof/>
            <w:webHidden/>
          </w:rPr>
          <w:fldChar w:fldCharType="end"/>
        </w:r>
      </w:hyperlink>
    </w:p>
    <w:p w14:paraId="0277FDB2" w14:textId="21B816CF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47" w:history="1">
        <w:r w:rsidR="00071292" w:rsidRPr="00EE2566">
          <w:rPr>
            <w:rStyle w:val="Hipercze"/>
            <w:b/>
            <w:noProof/>
          </w:rPr>
          <w:t>Tabela 16.2</w:t>
        </w:r>
        <w:r w:rsidR="00071292" w:rsidRPr="00EE2566">
          <w:rPr>
            <w:rStyle w:val="Hipercze"/>
            <w:noProof/>
          </w:rPr>
          <w:t xml:space="preserve"> Dynamika ruchu czarterowego – kwartał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_Toc216787147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30</w:t>
        </w:r>
        <w:r w:rsidR="00071292">
          <w:rPr>
            <w:noProof/>
            <w:webHidden/>
          </w:rPr>
          <w:fldChar w:fldCharType="end"/>
        </w:r>
      </w:hyperlink>
    </w:p>
    <w:p w14:paraId="504C4ED5" w14:textId="2BDA555D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48" w:history="1">
        <w:r w:rsidR="00071292" w:rsidRPr="00EE2566">
          <w:rPr>
            <w:rStyle w:val="Hipercze"/>
            <w:b/>
            <w:noProof/>
          </w:rPr>
          <w:t>Tabela 17.1</w:t>
        </w:r>
        <w:r w:rsidR="00071292" w:rsidRPr="00EE2566">
          <w:rPr>
            <w:rStyle w:val="Hipercze"/>
            <w:noProof/>
          </w:rPr>
          <w:t xml:space="preserve"> RPKM (mln) – narastająco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_Toc216787148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31</w:t>
        </w:r>
        <w:r w:rsidR="00071292">
          <w:rPr>
            <w:noProof/>
            <w:webHidden/>
          </w:rPr>
          <w:fldChar w:fldCharType="end"/>
        </w:r>
      </w:hyperlink>
    </w:p>
    <w:p w14:paraId="1A7931ED" w14:textId="394B8FA4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49" w:history="1">
        <w:r w:rsidR="00071292" w:rsidRPr="00EE2566">
          <w:rPr>
            <w:rStyle w:val="Hipercze"/>
            <w:b/>
            <w:noProof/>
          </w:rPr>
          <w:t>Tabela 17.2</w:t>
        </w:r>
        <w:r w:rsidR="00071292" w:rsidRPr="00EE2566">
          <w:rPr>
            <w:rStyle w:val="Hipercze"/>
            <w:noProof/>
          </w:rPr>
          <w:t xml:space="preserve"> RPKM porównanie z IATA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_Toc216787149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31</w:t>
        </w:r>
        <w:r w:rsidR="00071292">
          <w:rPr>
            <w:noProof/>
            <w:webHidden/>
          </w:rPr>
          <w:fldChar w:fldCharType="end"/>
        </w:r>
      </w:hyperlink>
    </w:p>
    <w:p w14:paraId="367D14D5" w14:textId="51A14484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50" w:history="1">
        <w:r w:rsidR="00071292" w:rsidRPr="00EE2566">
          <w:rPr>
            <w:rStyle w:val="Hipercze"/>
            <w:b/>
            <w:noProof/>
          </w:rPr>
          <w:t>Tabela 17.3</w:t>
        </w:r>
        <w:r w:rsidR="00071292" w:rsidRPr="00EE2566">
          <w:rPr>
            <w:rStyle w:val="Hipercze"/>
            <w:noProof/>
          </w:rPr>
          <w:t xml:space="preserve"> RPKM (mln) – kwartał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_Toc216787150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32</w:t>
        </w:r>
        <w:r w:rsidR="00071292">
          <w:rPr>
            <w:noProof/>
            <w:webHidden/>
          </w:rPr>
          <w:fldChar w:fldCharType="end"/>
        </w:r>
      </w:hyperlink>
    </w:p>
    <w:p w14:paraId="77951102" w14:textId="2479643A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51" w:history="1">
        <w:r w:rsidR="00071292" w:rsidRPr="00EE2566">
          <w:rPr>
            <w:rStyle w:val="Hipercze"/>
            <w:b/>
            <w:noProof/>
          </w:rPr>
          <w:t>Tabela 18.1</w:t>
        </w:r>
        <w:r w:rsidR="00071292" w:rsidRPr="00EE2566">
          <w:rPr>
            <w:rStyle w:val="Hipercze"/>
            <w:noProof/>
          </w:rPr>
          <w:t xml:space="preserve"> ASKM (mln) – narastająco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_Toc216787151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33</w:t>
        </w:r>
        <w:r w:rsidR="00071292">
          <w:rPr>
            <w:noProof/>
            <w:webHidden/>
          </w:rPr>
          <w:fldChar w:fldCharType="end"/>
        </w:r>
      </w:hyperlink>
    </w:p>
    <w:p w14:paraId="2CBA6D91" w14:textId="7E0A4D98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52" w:history="1">
        <w:r w:rsidR="00071292" w:rsidRPr="00EE2566">
          <w:rPr>
            <w:rStyle w:val="Hipercze"/>
            <w:b/>
            <w:noProof/>
          </w:rPr>
          <w:t>Tabela 18.2</w:t>
        </w:r>
        <w:r w:rsidR="00071292" w:rsidRPr="00EE2566">
          <w:rPr>
            <w:rStyle w:val="Hipercze"/>
            <w:noProof/>
          </w:rPr>
          <w:t xml:space="preserve"> ASKM porównanie z IATA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_Toc216787152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33</w:t>
        </w:r>
        <w:r w:rsidR="00071292">
          <w:rPr>
            <w:noProof/>
            <w:webHidden/>
          </w:rPr>
          <w:fldChar w:fldCharType="end"/>
        </w:r>
      </w:hyperlink>
    </w:p>
    <w:p w14:paraId="070A26A0" w14:textId="7DCCD28D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53" w:history="1">
        <w:r w:rsidR="00071292" w:rsidRPr="00EE2566">
          <w:rPr>
            <w:rStyle w:val="Hipercze"/>
            <w:b/>
            <w:noProof/>
          </w:rPr>
          <w:t>Tabela 18.3</w:t>
        </w:r>
        <w:r w:rsidR="00071292" w:rsidRPr="00EE2566">
          <w:rPr>
            <w:rStyle w:val="Hipercze"/>
            <w:noProof/>
          </w:rPr>
          <w:t xml:space="preserve"> ASKM (mln) – kwartał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_Toc216787153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33</w:t>
        </w:r>
        <w:r w:rsidR="00071292">
          <w:rPr>
            <w:noProof/>
            <w:webHidden/>
          </w:rPr>
          <w:fldChar w:fldCharType="end"/>
        </w:r>
      </w:hyperlink>
    </w:p>
    <w:p w14:paraId="2B787E86" w14:textId="5F0AA1AE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54" w:history="1">
        <w:r w:rsidR="00071292" w:rsidRPr="00EE2566">
          <w:rPr>
            <w:rStyle w:val="Hipercze"/>
            <w:b/>
            <w:noProof/>
          </w:rPr>
          <w:t>Tabela 19.1</w:t>
        </w:r>
        <w:r w:rsidR="00071292" w:rsidRPr="00EE2566">
          <w:rPr>
            <w:rStyle w:val="Hipercze"/>
            <w:noProof/>
          </w:rPr>
          <w:t xml:space="preserve"> LF – narastająco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_Toc216787154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34</w:t>
        </w:r>
        <w:r w:rsidR="00071292">
          <w:rPr>
            <w:noProof/>
            <w:webHidden/>
          </w:rPr>
          <w:fldChar w:fldCharType="end"/>
        </w:r>
      </w:hyperlink>
    </w:p>
    <w:p w14:paraId="489AAF93" w14:textId="4DA92680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55" w:history="1">
        <w:r w:rsidR="00071292" w:rsidRPr="00EE2566">
          <w:rPr>
            <w:rStyle w:val="Hipercze"/>
            <w:b/>
            <w:noProof/>
          </w:rPr>
          <w:t>Tabela 19.2</w:t>
        </w:r>
        <w:r w:rsidR="00071292" w:rsidRPr="00EE2566">
          <w:rPr>
            <w:rStyle w:val="Hipercze"/>
            <w:noProof/>
          </w:rPr>
          <w:t xml:space="preserve"> LF porównanie z IATA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_Toc216787155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35</w:t>
        </w:r>
        <w:r w:rsidR="00071292">
          <w:rPr>
            <w:noProof/>
            <w:webHidden/>
          </w:rPr>
          <w:fldChar w:fldCharType="end"/>
        </w:r>
      </w:hyperlink>
    </w:p>
    <w:p w14:paraId="714E6C85" w14:textId="72C54B3E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56" w:history="1">
        <w:r w:rsidR="00071292" w:rsidRPr="00EE2566">
          <w:rPr>
            <w:rStyle w:val="Hipercze"/>
            <w:b/>
            <w:noProof/>
          </w:rPr>
          <w:t>Tabela 19.3</w:t>
        </w:r>
        <w:r w:rsidR="00071292" w:rsidRPr="00EE2566">
          <w:rPr>
            <w:rStyle w:val="Hipercze"/>
            <w:noProof/>
          </w:rPr>
          <w:t xml:space="preserve"> LF – kwartał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_Toc216787156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35</w:t>
        </w:r>
        <w:r w:rsidR="00071292">
          <w:rPr>
            <w:noProof/>
            <w:webHidden/>
          </w:rPr>
          <w:fldChar w:fldCharType="end"/>
        </w:r>
      </w:hyperlink>
    </w:p>
    <w:p w14:paraId="68A62D84" w14:textId="1DC8FB61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57" w:history="1">
        <w:r w:rsidR="00071292" w:rsidRPr="00EE2566">
          <w:rPr>
            <w:rStyle w:val="Hipercze"/>
            <w:b/>
            <w:noProof/>
          </w:rPr>
          <w:t>Tabela 20.1</w:t>
        </w:r>
        <w:r w:rsidR="00071292" w:rsidRPr="00EE2566">
          <w:rPr>
            <w:rStyle w:val="Hipercze"/>
            <w:noProof/>
          </w:rPr>
          <w:t xml:space="preserve"> Udział w rynku wg liczby przewiezionych pasażerów w ruchu międzynarodowym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_Toc216787157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36</w:t>
        </w:r>
        <w:r w:rsidR="00071292">
          <w:rPr>
            <w:noProof/>
            <w:webHidden/>
          </w:rPr>
          <w:fldChar w:fldCharType="end"/>
        </w:r>
      </w:hyperlink>
    </w:p>
    <w:p w14:paraId="4A2CFCE4" w14:textId="0CEAA584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58" w:history="1">
        <w:r w:rsidR="00071292" w:rsidRPr="00EE2566">
          <w:rPr>
            <w:rStyle w:val="Hipercze"/>
            <w:b/>
            <w:noProof/>
          </w:rPr>
          <w:t>Tabela 21.1</w:t>
        </w:r>
        <w:r w:rsidR="00071292" w:rsidRPr="00EE2566">
          <w:rPr>
            <w:rStyle w:val="Hipercze"/>
            <w:noProof/>
          </w:rPr>
          <w:t xml:space="preserve"> Udział w rynku ruchu międzynarodowego wg modelu biznesowego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_Toc216787158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37</w:t>
        </w:r>
        <w:r w:rsidR="00071292">
          <w:rPr>
            <w:noProof/>
            <w:webHidden/>
          </w:rPr>
          <w:fldChar w:fldCharType="end"/>
        </w:r>
      </w:hyperlink>
    </w:p>
    <w:p w14:paraId="3AEE8BCC" w14:textId="51AFBEE0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59" w:history="1">
        <w:r w:rsidR="00071292" w:rsidRPr="00EE2566">
          <w:rPr>
            <w:rStyle w:val="Hipercze"/>
            <w:b/>
            <w:noProof/>
          </w:rPr>
          <w:t>Tabela 22.1</w:t>
        </w:r>
        <w:r w:rsidR="00071292" w:rsidRPr="00EE2566">
          <w:rPr>
            <w:rStyle w:val="Hipercze"/>
            <w:noProof/>
          </w:rPr>
          <w:t xml:space="preserve"> Porównanie dynamiki ruchu przewoźników LCC i sieciowych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_Toc216787159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38</w:t>
        </w:r>
        <w:r w:rsidR="00071292">
          <w:rPr>
            <w:noProof/>
            <w:webHidden/>
          </w:rPr>
          <w:fldChar w:fldCharType="end"/>
        </w:r>
      </w:hyperlink>
    </w:p>
    <w:p w14:paraId="6C75EA32" w14:textId="58B1BF38" w:rsidR="00071292" w:rsidRDefault="00152615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216787160" w:history="1">
        <w:r w:rsidR="00071292" w:rsidRPr="00EE2566">
          <w:rPr>
            <w:rStyle w:val="Hipercze"/>
            <w:b/>
            <w:noProof/>
          </w:rPr>
          <w:t>Tabela 22.2</w:t>
        </w:r>
        <w:r w:rsidR="00071292" w:rsidRPr="00EE2566">
          <w:rPr>
            <w:rStyle w:val="Hipercze"/>
            <w:noProof/>
          </w:rPr>
          <w:t xml:space="preserve"> Porównanie zmian punktów procentowych LF w ruchu międzynarodowym dla przewoźników LCC i sieciowych</w:t>
        </w:r>
        <w:r w:rsidR="00071292">
          <w:rPr>
            <w:noProof/>
            <w:webHidden/>
          </w:rPr>
          <w:tab/>
        </w:r>
        <w:r w:rsidR="00071292">
          <w:rPr>
            <w:noProof/>
            <w:webHidden/>
          </w:rPr>
          <w:fldChar w:fldCharType="begin"/>
        </w:r>
        <w:r w:rsidR="00071292">
          <w:rPr>
            <w:noProof/>
            <w:webHidden/>
          </w:rPr>
          <w:instrText xml:space="preserve"> PAGEREF _Toc216787160 \h </w:instrText>
        </w:r>
        <w:r w:rsidR="00071292">
          <w:rPr>
            <w:noProof/>
            <w:webHidden/>
          </w:rPr>
        </w:r>
        <w:r w:rsidR="00071292">
          <w:rPr>
            <w:noProof/>
            <w:webHidden/>
          </w:rPr>
          <w:fldChar w:fldCharType="separate"/>
        </w:r>
        <w:r w:rsidR="00050164">
          <w:rPr>
            <w:noProof/>
            <w:webHidden/>
          </w:rPr>
          <w:t>39</w:t>
        </w:r>
        <w:r w:rsidR="00071292">
          <w:rPr>
            <w:noProof/>
            <w:webHidden/>
          </w:rPr>
          <w:fldChar w:fldCharType="end"/>
        </w:r>
      </w:hyperlink>
    </w:p>
    <w:p w14:paraId="74376EA8" w14:textId="77777777" w:rsidR="005C03F8" w:rsidRPr="00E401F0" w:rsidRDefault="00251929" w:rsidP="00251929">
      <w:pPr>
        <w:pStyle w:val="Spisilustracji"/>
        <w:tabs>
          <w:tab w:val="right" w:leader="dot" w:pos="9062"/>
        </w:tabs>
        <w:rPr>
          <w:noProof/>
        </w:rPr>
      </w:pPr>
      <w:r w:rsidRPr="00E401F0">
        <w:rPr>
          <w:i/>
          <w:noProof/>
        </w:rPr>
        <w:fldChar w:fldCharType="end"/>
      </w:r>
    </w:p>
    <w:sectPr w:rsidR="005C03F8" w:rsidRPr="00E401F0" w:rsidSect="0006530F">
      <w:headerReference w:type="default" r:id="rId46"/>
      <w:footerReference w:type="default" r:id="rId47"/>
      <w:pgSz w:w="11906" w:h="16838"/>
      <w:pgMar w:top="1417" w:right="1417" w:bottom="1417" w:left="1417" w:header="708" w:footer="54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A6F846" w16cid:durableId="2D19D935"/>
  <w16cid:commentId w16cid:paraId="5233DC00" w16cid:durableId="2D19DEAC"/>
  <w16cid:commentId w16cid:paraId="686906C2" w16cid:durableId="2D19DEEC"/>
  <w16cid:commentId w16cid:paraId="271F18F9" w16cid:durableId="2D19DF28"/>
  <w16cid:commentId w16cid:paraId="2D87F78F" w16cid:durableId="2D19DFAB"/>
  <w16cid:commentId w16cid:paraId="2B66FC7F" w16cid:durableId="2D19E070"/>
  <w16cid:commentId w16cid:paraId="75DEC9DA" w16cid:durableId="2D19E2FB"/>
  <w16cid:commentId w16cid:paraId="4AE3461D" w16cid:durableId="2D19E2E0"/>
  <w16cid:commentId w16cid:paraId="1193BB6D" w16cid:durableId="2D19E3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CF5B3" w14:textId="77777777" w:rsidR="00152615" w:rsidRDefault="00152615" w:rsidP="0006530F">
      <w:pPr>
        <w:spacing w:after="0" w:line="240" w:lineRule="auto"/>
      </w:pPr>
      <w:r>
        <w:separator/>
      </w:r>
    </w:p>
  </w:endnote>
  <w:endnote w:type="continuationSeparator" w:id="0">
    <w:p w14:paraId="6DA96976" w14:textId="77777777" w:rsidR="00152615" w:rsidRDefault="00152615" w:rsidP="0006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989D2" w14:textId="63FDA709" w:rsidR="00DA4DCC" w:rsidRDefault="00DA4DCC" w:rsidP="00DE7A70">
    <w:pPr>
      <w:pStyle w:val="Stopka"/>
      <w:spacing w:before="720"/>
      <w:jc w:val="center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AE6DA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D84ED" w14:textId="77777777" w:rsidR="00152615" w:rsidRDefault="00152615" w:rsidP="0006530F">
      <w:pPr>
        <w:spacing w:after="0" w:line="240" w:lineRule="auto"/>
      </w:pPr>
      <w:r>
        <w:separator/>
      </w:r>
    </w:p>
  </w:footnote>
  <w:footnote w:type="continuationSeparator" w:id="0">
    <w:p w14:paraId="7C1A9E77" w14:textId="77777777" w:rsidR="00152615" w:rsidRDefault="00152615" w:rsidP="0006530F">
      <w:pPr>
        <w:spacing w:after="0" w:line="240" w:lineRule="auto"/>
      </w:pPr>
      <w:r>
        <w:continuationSeparator/>
      </w:r>
    </w:p>
  </w:footnote>
  <w:footnote w:id="1">
    <w:p w14:paraId="14B9DE6D" w14:textId="77777777" w:rsidR="00DA4DCC" w:rsidRPr="00A85D41" w:rsidRDefault="00DA4DC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 w:rsidRPr="0024126A">
        <w:rPr>
          <w:lang w:val="en-US"/>
        </w:rPr>
        <w:t>Źródło</w:t>
      </w:r>
      <w:r w:rsidRPr="00A85D41">
        <w:rPr>
          <w:lang w:val="en-US"/>
        </w:rPr>
        <w:t>: ACI Europe Airport Traffic R</w:t>
      </w:r>
      <w:r>
        <w:rPr>
          <w:lang w:val="en-US"/>
        </w:rPr>
        <w:t>eport June, Q2 &amp; H1 2024</w:t>
      </w:r>
    </w:p>
  </w:footnote>
  <w:footnote w:id="2">
    <w:p w14:paraId="3996C434" w14:textId="77777777" w:rsidR="00DA4DCC" w:rsidRPr="00A85D41" w:rsidRDefault="00DA4DCC" w:rsidP="006D1D9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>
        <w:rPr>
          <w:lang w:val="en-US"/>
        </w:rPr>
        <w:t>ACI Europe Airport Traffic Report June, Q2 &amp; H1 2024</w:t>
      </w:r>
    </w:p>
  </w:footnote>
  <w:footnote w:id="3">
    <w:p w14:paraId="67F1D91A" w14:textId="77777777" w:rsidR="00DA4DCC" w:rsidRPr="00A85D41" w:rsidRDefault="00DA4DCC" w:rsidP="00175B4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>
        <w:rPr>
          <w:lang w:val="en-US"/>
        </w:rPr>
        <w:t>ACI Europe Airport Traffic Report June, Q2 &amp; H1 2024</w:t>
      </w:r>
    </w:p>
  </w:footnote>
  <w:footnote w:id="4">
    <w:p w14:paraId="4422AEF5" w14:textId="77777777" w:rsidR="00DA4DCC" w:rsidRPr="00A85D41" w:rsidRDefault="00DA4DCC" w:rsidP="00A85D41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>
        <w:rPr>
          <w:lang w:val="en-US"/>
        </w:rPr>
        <w:t>ACI Europe Airport Traffic Report June, Q2 &amp; H1 2024</w:t>
      </w:r>
    </w:p>
  </w:footnote>
  <w:footnote w:id="5">
    <w:p w14:paraId="019ED828" w14:textId="77777777" w:rsidR="00DA4DCC" w:rsidRPr="00A85D41" w:rsidRDefault="00DA4DC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>
        <w:rPr>
          <w:lang w:val="en-US"/>
        </w:rPr>
        <w:t>ACI Europe Airport Traffic Report June, Q2 &amp; H1 2024</w:t>
      </w:r>
    </w:p>
  </w:footnote>
  <w:footnote w:id="6">
    <w:p w14:paraId="45D72044" w14:textId="77777777" w:rsidR="00DA4DCC" w:rsidRPr="00A85D41" w:rsidRDefault="00DA4DC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>
        <w:rPr>
          <w:lang w:val="en-US"/>
        </w:rPr>
        <w:t>ACI Europe Airport Traffic Report June, Q2 &amp; H1 2024</w:t>
      </w:r>
    </w:p>
  </w:footnote>
  <w:footnote w:id="7">
    <w:p w14:paraId="68FDB136" w14:textId="77777777" w:rsidR="00DA4DCC" w:rsidRPr="00A85D41" w:rsidRDefault="00DA4DC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Źródło: </w:t>
      </w:r>
      <w:r>
        <w:rPr>
          <w:lang w:val="en-US"/>
        </w:rPr>
        <w:t>IATA Air Passenger Market Analysis June 2024</w:t>
      </w:r>
    </w:p>
  </w:footnote>
  <w:footnote w:id="8">
    <w:p w14:paraId="6784481F" w14:textId="77777777" w:rsidR="00DA4DCC" w:rsidRPr="00A85D41" w:rsidRDefault="00DA4DCC" w:rsidP="00B530FA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Źródło: </w:t>
      </w:r>
      <w:r>
        <w:rPr>
          <w:lang w:val="en-US"/>
        </w:rPr>
        <w:t>IATA Air Passenger Market Analysis June 2025</w:t>
      </w:r>
    </w:p>
  </w:footnote>
  <w:footnote w:id="9">
    <w:p w14:paraId="58CFAF7E" w14:textId="77777777" w:rsidR="00DA4DCC" w:rsidRPr="00A85D41" w:rsidRDefault="00DA4DC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Źródło: </w:t>
      </w:r>
      <w:r>
        <w:rPr>
          <w:lang w:val="en-US"/>
        </w:rPr>
        <w:t>IATA Air Passenger Market Analysis June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0030A" w14:textId="77777777" w:rsidR="00DA4DCC" w:rsidRDefault="00DA4DCC" w:rsidP="0006530F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35BF4"/>
    <w:multiLevelType w:val="hybridMultilevel"/>
    <w:tmpl w:val="DC00A592"/>
    <w:lvl w:ilvl="0" w:tplc="E996CDB0">
      <w:start w:val="1"/>
      <w:numFmt w:val="decimal"/>
      <w:pStyle w:val="Nagwek1"/>
      <w:lvlText w:val="%1."/>
      <w:lvlJc w:val="left"/>
      <w:pPr>
        <w:ind w:left="720" w:hanging="360"/>
      </w:pPr>
    </w:lvl>
    <w:lvl w:ilvl="1" w:tplc="5D06177C">
      <w:start w:val="1"/>
      <w:numFmt w:val="ordinal"/>
      <w:pStyle w:val="Nagwek2"/>
      <w:lvlText w:val="10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ocumentProtection w:edit="readOnly" w:enforcement="1" w:cryptProviderType="rsaAES" w:cryptAlgorithmClass="hash" w:cryptAlgorithmType="typeAny" w:cryptAlgorithmSid="14" w:cryptSpinCount="100000" w:hash="fCPmJwd0rjNZJw15V60ae2JvudNgILwPtRYdG8gKnjd5nq9n/Xf3q15wgYYcVHoM9BwKUcdsQOryEAq/fOzv/A==" w:salt="PfgRcuTFEB6KLrlJ0Atq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49"/>
    <w:rsid w:val="00006630"/>
    <w:rsid w:val="000070E8"/>
    <w:rsid w:val="0000733C"/>
    <w:rsid w:val="00012FBE"/>
    <w:rsid w:val="0001474C"/>
    <w:rsid w:val="00016301"/>
    <w:rsid w:val="0001772B"/>
    <w:rsid w:val="00020585"/>
    <w:rsid w:val="0002163F"/>
    <w:rsid w:val="00026321"/>
    <w:rsid w:val="00030869"/>
    <w:rsid w:val="0003141B"/>
    <w:rsid w:val="00036F95"/>
    <w:rsid w:val="00037463"/>
    <w:rsid w:val="00040829"/>
    <w:rsid w:val="0004158D"/>
    <w:rsid w:val="000466D2"/>
    <w:rsid w:val="00050164"/>
    <w:rsid w:val="0005256A"/>
    <w:rsid w:val="00052E59"/>
    <w:rsid w:val="000542CA"/>
    <w:rsid w:val="00054CCF"/>
    <w:rsid w:val="000554D7"/>
    <w:rsid w:val="000567B3"/>
    <w:rsid w:val="00057F0A"/>
    <w:rsid w:val="00063C16"/>
    <w:rsid w:val="0006530F"/>
    <w:rsid w:val="00071292"/>
    <w:rsid w:val="00073E90"/>
    <w:rsid w:val="00086DF6"/>
    <w:rsid w:val="00096104"/>
    <w:rsid w:val="000A69DF"/>
    <w:rsid w:val="000A6B86"/>
    <w:rsid w:val="000A7F0D"/>
    <w:rsid w:val="000B3CAC"/>
    <w:rsid w:val="000B5FC8"/>
    <w:rsid w:val="000C36E5"/>
    <w:rsid w:val="000C42F3"/>
    <w:rsid w:val="000C60B9"/>
    <w:rsid w:val="000D2651"/>
    <w:rsid w:val="000D2BDB"/>
    <w:rsid w:val="000E07D0"/>
    <w:rsid w:val="000E1177"/>
    <w:rsid w:val="000E6F08"/>
    <w:rsid w:val="000F17C5"/>
    <w:rsid w:val="001013CC"/>
    <w:rsid w:val="00106CAA"/>
    <w:rsid w:val="00107A83"/>
    <w:rsid w:val="00110BB0"/>
    <w:rsid w:val="00115E0A"/>
    <w:rsid w:val="00123034"/>
    <w:rsid w:val="001258F8"/>
    <w:rsid w:val="0014321F"/>
    <w:rsid w:val="001439E9"/>
    <w:rsid w:val="001473F9"/>
    <w:rsid w:val="00150362"/>
    <w:rsid w:val="00152615"/>
    <w:rsid w:val="00152864"/>
    <w:rsid w:val="00152BE5"/>
    <w:rsid w:val="00160A75"/>
    <w:rsid w:val="0016264E"/>
    <w:rsid w:val="0016381C"/>
    <w:rsid w:val="00165125"/>
    <w:rsid w:val="0016605A"/>
    <w:rsid w:val="00166766"/>
    <w:rsid w:val="001728F5"/>
    <w:rsid w:val="00174A72"/>
    <w:rsid w:val="00175B4C"/>
    <w:rsid w:val="00183B5E"/>
    <w:rsid w:val="0018638B"/>
    <w:rsid w:val="0018787F"/>
    <w:rsid w:val="001903DD"/>
    <w:rsid w:val="00193427"/>
    <w:rsid w:val="0019519B"/>
    <w:rsid w:val="0019550F"/>
    <w:rsid w:val="00195CE2"/>
    <w:rsid w:val="00196088"/>
    <w:rsid w:val="00197BEE"/>
    <w:rsid w:val="001A2C1D"/>
    <w:rsid w:val="001A6EF2"/>
    <w:rsid w:val="001A78E0"/>
    <w:rsid w:val="001B72F1"/>
    <w:rsid w:val="001C1B48"/>
    <w:rsid w:val="001D01A9"/>
    <w:rsid w:val="001D2C4A"/>
    <w:rsid w:val="001D330D"/>
    <w:rsid w:val="001D682F"/>
    <w:rsid w:val="001D6FF5"/>
    <w:rsid w:val="001D7920"/>
    <w:rsid w:val="001E017F"/>
    <w:rsid w:val="001F14B9"/>
    <w:rsid w:val="001F39D9"/>
    <w:rsid w:val="001F5889"/>
    <w:rsid w:val="001F6599"/>
    <w:rsid w:val="002010C4"/>
    <w:rsid w:val="00205636"/>
    <w:rsid w:val="00207206"/>
    <w:rsid w:val="00207DEB"/>
    <w:rsid w:val="0021094E"/>
    <w:rsid w:val="00211771"/>
    <w:rsid w:val="00213291"/>
    <w:rsid w:val="00220CAE"/>
    <w:rsid w:val="002217D7"/>
    <w:rsid w:val="00222F0F"/>
    <w:rsid w:val="00222F48"/>
    <w:rsid w:val="002231BB"/>
    <w:rsid w:val="00225206"/>
    <w:rsid w:val="00234D3E"/>
    <w:rsid w:val="00235201"/>
    <w:rsid w:val="00235DA1"/>
    <w:rsid w:val="00236A92"/>
    <w:rsid w:val="002409A0"/>
    <w:rsid w:val="0024126A"/>
    <w:rsid w:val="00244A65"/>
    <w:rsid w:val="00247D8D"/>
    <w:rsid w:val="00251929"/>
    <w:rsid w:val="002578D9"/>
    <w:rsid w:val="002610D2"/>
    <w:rsid w:val="0026119A"/>
    <w:rsid w:val="00263821"/>
    <w:rsid w:val="002655ED"/>
    <w:rsid w:val="002657E4"/>
    <w:rsid w:val="002743B1"/>
    <w:rsid w:val="00274935"/>
    <w:rsid w:val="002761E2"/>
    <w:rsid w:val="0027744F"/>
    <w:rsid w:val="00284E0B"/>
    <w:rsid w:val="00287932"/>
    <w:rsid w:val="00287ED5"/>
    <w:rsid w:val="002910AC"/>
    <w:rsid w:val="00293021"/>
    <w:rsid w:val="00297536"/>
    <w:rsid w:val="002A1EAC"/>
    <w:rsid w:val="002A20B1"/>
    <w:rsid w:val="002A66A5"/>
    <w:rsid w:val="002B4385"/>
    <w:rsid w:val="002C4A89"/>
    <w:rsid w:val="002C543B"/>
    <w:rsid w:val="002D3C69"/>
    <w:rsid w:val="002D3F76"/>
    <w:rsid w:val="002D4F08"/>
    <w:rsid w:val="002E4EA4"/>
    <w:rsid w:val="002E7548"/>
    <w:rsid w:val="002F3002"/>
    <w:rsid w:val="002F7618"/>
    <w:rsid w:val="00310CB2"/>
    <w:rsid w:val="003139C6"/>
    <w:rsid w:val="0031420E"/>
    <w:rsid w:val="003160B2"/>
    <w:rsid w:val="003167DA"/>
    <w:rsid w:val="00317935"/>
    <w:rsid w:val="00323453"/>
    <w:rsid w:val="0032553F"/>
    <w:rsid w:val="003265EF"/>
    <w:rsid w:val="0033159A"/>
    <w:rsid w:val="00332ABC"/>
    <w:rsid w:val="00333DA7"/>
    <w:rsid w:val="00335095"/>
    <w:rsid w:val="00336778"/>
    <w:rsid w:val="00336C9D"/>
    <w:rsid w:val="00336DE7"/>
    <w:rsid w:val="0034208B"/>
    <w:rsid w:val="00342124"/>
    <w:rsid w:val="0034528C"/>
    <w:rsid w:val="003479CB"/>
    <w:rsid w:val="003515F5"/>
    <w:rsid w:val="00351A68"/>
    <w:rsid w:val="00352839"/>
    <w:rsid w:val="0035520E"/>
    <w:rsid w:val="00355CDE"/>
    <w:rsid w:val="0036763E"/>
    <w:rsid w:val="00371050"/>
    <w:rsid w:val="00376B62"/>
    <w:rsid w:val="003774B0"/>
    <w:rsid w:val="0038600A"/>
    <w:rsid w:val="0038794E"/>
    <w:rsid w:val="00393C08"/>
    <w:rsid w:val="003A2286"/>
    <w:rsid w:val="003A22F1"/>
    <w:rsid w:val="003A4616"/>
    <w:rsid w:val="003A69CE"/>
    <w:rsid w:val="003A6E35"/>
    <w:rsid w:val="003A7089"/>
    <w:rsid w:val="003B103F"/>
    <w:rsid w:val="003B31CA"/>
    <w:rsid w:val="003B32A7"/>
    <w:rsid w:val="003B4FF5"/>
    <w:rsid w:val="003B75D1"/>
    <w:rsid w:val="003C29DC"/>
    <w:rsid w:val="003C3296"/>
    <w:rsid w:val="003C372C"/>
    <w:rsid w:val="003C3BF8"/>
    <w:rsid w:val="003D5DBD"/>
    <w:rsid w:val="003D6077"/>
    <w:rsid w:val="003D6BCE"/>
    <w:rsid w:val="003E2765"/>
    <w:rsid w:val="003E2780"/>
    <w:rsid w:val="003E3B02"/>
    <w:rsid w:val="003E452C"/>
    <w:rsid w:val="003E4B33"/>
    <w:rsid w:val="003E70F6"/>
    <w:rsid w:val="003F0756"/>
    <w:rsid w:val="004009DC"/>
    <w:rsid w:val="0040318F"/>
    <w:rsid w:val="0040339A"/>
    <w:rsid w:val="004056D2"/>
    <w:rsid w:val="004104F3"/>
    <w:rsid w:val="00412BF2"/>
    <w:rsid w:val="0041558D"/>
    <w:rsid w:val="004174CC"/>
    <w:rsid w:val="00420503"/>
    <w:rsid w:val="00420C71"/>
    <w:rsid w:val="0042196F"/>
    <w:rsid w:val="00422053"/>
    <w:rsid w:val="00422F83"/>
    <w:rsid w:val="0042702F"/>
    <w:rsid w:val="00430AF3"/>
    <w:rsid w:val="00436981"/>
    <w:rsid w:val="00440432"/>
    <w:rsid w:val="00446263"/>
    <w:rsid w:val="0045030E"/>
    <w:rsid w:val="004515C4"/>
    <w:rsid w:val="00451B0B"/>
    <w:rsid w:val="00461DE1"/>
    <w:rsid w:val="00463CE7"/>
    <w:rsid w:val="004645D7"/>
    <w:rsid w:val="00465A7B"/>
    <w:rsid w:val="0047441E"/>
    <w:rsid w:val="00476E1A"/>
    <w:rsid w:val="00477845"/>
    <w:rsid w:val="0048756C"/>
    <w:rsid w:val="004906C2"/>
    <w:rsid w:val="004A11D9"/>
    <w:rsid w:val="004A2DD3"/>
    <w:rsid w:val="004A4FC8"/>
    <w:rsid w:val="004B1F44"/>
    <w:rsid w:val="004B49A9"/>
    <w:rsid w:val="004B71A9"/>
    <w:rsid w:val="004C0BB5"/>
    <w:rsid w:val="004C49A7"/>
    <w:rsid w:val="004C5B0C"/>
    <w:rsid w:val="004C61A4"/>
    <w:rsid w:val="004D0C4A"/>
    <w:rsid w:val="004E26CB"/>
    <w:rsid w:val="004E51D3"/>
    <w:rsid w:val="004E65B5"/>
    <w:rsid w:val="004F03EB"/>
    <w:rsid w:val="004F2BA5"/>
    <w:rsid w:val="004F543C"/>
    <w:rsid w:val="004F7493"/>
    <w:rsid w:val="00510A67"/>
    <w:rsid w:val="00513286"/>
    <w:rsid w:val="00524CE1"/>
    <w:rsid w:val="00524E1E"/>
    <w:rsid w:val="00527143"/>
    <w:rsid w:val="0053014F"/>
    <w:rsid w:val="00535215"/>
    <w:rsid w:val="00535735"/>
    <w:rsid w:val="00536DE7"/>
    <w:rsid w:val="00541219"/>
    <w:rsid w:val="00545E36"/>
    <w:rsid w:val="00546536"/>
    <w:rsid w:val="00550322"/>
    <w:rsid w:val="00552716"/>
    <w:rsid w:val="00557D64"/>
    <w:rsid w:val="00560B29"/>
    <w:rsid w:val="005641CF"/>
    <w:rsid w:val="005643BC"/>
    <w:rsid w:val="00564E6C"/>
    <w:rsid w:val="00567CE1"/>
    <w:rsid w:val="0057014A"/>
    <w:rsid w:val="00570608"/>
    <w:rsid w:val="00570D25"/>
    <w:rsid w:val="00574DE0"/>
    <w:rsid w:val="00577736"/>
    <w:rsid w:val="00582C5D"/>
    <w:rsid w:val="005867EB"/>
    <w:rsid w:val="00594C62"/>
    <w:rsid w:val="00597EE9"/>
    <w:rsid w:val="005A3171"/>
    <w:rsid w:val="005A3FC6"/>
    <w:rsid w:val="005A6434"/>
    <w:rsid w:val="005A65F2"/>
    <w:rsid w:val="005A7AE2"/>
    <w:rsid w:val="005B20FA"/>
    <w:rsid w:val="005B3F84"/>
    <w:rsid w:val="005B61EB"/>
    <w:rsid w:val="005C03F8"/>
    <w:rsid w:val="005C1F7B"/>
    <w:rsid w:val="005C2903"/>
    <w:rsid w:val="005C4E95"/>
    <w:rsid w:val="005C5394"/>
    <w:rsid w:val="005D3326"/>
    <w:rsid w:val="005E08F6"/>
    <w:rsid w:val="005E107F"/>
    <w:rsid w:val="005E15EF"/>
    <w:rsid w:val="005E1A72"/>
    <w:rsid w:val="005E3B4D"/>
    <w:rsid w:val="005E7D83"/>
    <w:rsid w:val="005F17F2"/>
    <w:rsid w:val="005F30DD"/>
    <w:rsid w:val="00603E66"/>
    <w:rsid w:val="006057F7"/>
    <w:rsid w:val="00612466"/>
    <w:rsid w:val="0061637C"/>
    <w:rsid w:val="00616F1F"/>
    <w:rsid w:val="0061772E"/>
    <w:rsid w:val="00617AFC"/>
    <w:rsid w:val="00622A10"/>
    <w:rsid w:val="00622B6E"/>
    <w:rsid w:val="00626B48"/>
    <w:rsid w:val="0062712E"/>
    <w:rsid w:val="0063644F"/>
    <w:rsid w:val="006412AF"/>
    <w:rsid w:val="006468D3"/>
    <w:rsid w:val="00647343"/>
    <w:rsid w:val="006574DF"/>
    <w:rsid w:val="0065762F"/>
    <w:rsid w:val="006622DB"/>
    <w:rsid w:val="00662518"/>
    <w:rsid w:val="00667237"/>
    <w:rsid w:val="006673F7"/>
    <w:rsid w:val="006739DA"/>
    <w:rsid w:val="00674925"/>
    <w:rsid w:val="006801B7"/>
    <w:rsid w:val="0068071C"/>
    <w:rsid w:val="00681794"/>
    <w:rsid w:val="00684AAF"/>
    <w:rsid w:val="006926E9"/>
    <w:rsid w:val="00693A46"/>
    <w:rsid w:val="00693D14"/>
    <w:rsid w:val="00694EA5"/>
    <w:rsid w:val="00695F9B"/>
    <w:rsid w:val="00696746"/>
    <w:rsid w:val="006A24EB"/>
    <w:rsid w:val="006A2BE0"/>
    <w:rsid w:val="006A4C6D"/>
    <w:rsid w:val="006A58B4"/>
    <w:rsid w:val="006A7D47"/>
    <w:rsid w:val="006B6A85"/>
    <w:rsid w:val="006C0304"/>
    <w:rsid w:val="006C0E57"/>
    <w:rsid w:val="006C2E45"/>
    <w:rsid w:val="006C6E4E"/>
    <w:rsid w:val="006C7541"/>
    <w:rsid w:val="006C7594"/>
    <w:rsid w:val="006D0614"/>
    <w:rsid w:val="006D1D9C"/>
    <w:rsid w:val="006D5A42"/>
    <w:rsid w:val="006D6719"/>
    <w:rsid w:val="006E0364"/>
    <w:rsid w:val="006E19B1"/>
    <w:rsid w:val="006E41F4"/>
    <w:rsid w:val="006E7D6D"/>
    <w:rsid w:val="006F03D0"/>
    <w:rsid w:val="006F07DE"/>
    <w:rsid w:val="006F5049"/>
    <w:rsid w:val="006F5634"/>
    <w:rsid w:val="006F5DEA"/>
    <w:rsid w:val="00700BD5"/>
    <w:rsid w:val="0070497A"/>
    <w:rsid w:val="0071300D"/>
    <w:rsid w:val="00723BA6"/>
    <w:rsid w:val="00727CA1"/>
    <w:rsid w:val="00727FF9"/>
    <w:rsid w:val="00731704"/>
    <w:rsid w:val="00732BBF"/>
    <w:rsid w:val="007350A6"/>
    <w:rsid w:val="00741049"/>
    <w:rsid w:val="007416C6"/>
    <w:rsid w:val="00744D64"/>
    <w:rsid w:val="0074694C"/>
    <w:rsid w:val="00747D08"/>
    <w:rsid w:val="007532FE"/>
    <w:rsid w:val="007605B9"/>
    <w:rsid w:val="0076152B"/>
    <w:rsid w:val="007626C5"/>
    <w:rsid w:val="00765B10"/>
    <w:rsid w:val="00765CDA"/>
    <w:rsid w:val="007668B7"/>
    <w:rsid w:val="0077035C"/>
    <w:rsid w:val="007752AB"/>
    <w:rsid w:val="0077695C"/>
    <w:rsid w:val="00777131"/>
    <w:rsid w:val="00777E75"/>
    <w:rsid w:val="007804F4"/>
    <w:rsid w:val="00780905"/>
    <w:rsid w:val="0078101D"/>
    <w:rsid w:val="007846ED"/>
    <w:rsid w:val="00784941"/>
    <w:rsid w:val="00784A6F"/>
    <w:rsid w:val="00785EF8"/>
    <w:rsid w:val="007919CB"/>
    <w:rsid w:val="00794BA2"/>
    <w:rsid w:val="00795AE3"/>
    <w:rsid w:val="007A24B3"/>
    <w:rsid w:val="007A7454"/>
    <w:rsid w:val="007B2B1E"/>
    <w:rsid w:val="007B2D28"/>
    <w:rsid w:val="007B4A6D"/>
    <w:rsid w:val="007B4C1F"/>
    <w:rsid w:val="007B4E8F"/>
    <w:rsid w:val="007B5600"/>
    <w:rsid w:val="007B5C38"/>
    <w:rsid w:val="007B7991"/>
    <w:rsid w:val="007C29F3"/>
    <w:rsid w:val="007C412A"/>
    <w:rsid w:val="007C5398"/>
    <w:rsid w:val="007C607B"/>
    <w:rsid w:val="007C6E41"/>
    <w:rsid w:val="007D1DB4"/>
    <w:rsid w:val="007D244E"/>
    <w:rsid w:val="007D3E72"/>
    <w:rsid w:val="007D4531"/>
    <w:rsid w:val="007D47FC"/>
    <w:rsid w:val="007D6A41"/>
    <w:rsid w:val="007E37E0"/>
    <w:rsid w:val="007E3F79"/>
    <w:rsid w:val="007E4E92"/>
    <w:rsid w:val="007E6C45"/>
    <w:rsid w:val="007F42F2"/>
    <w:rsid w:val="00803369"/>
    <w:rsid w:val="008035AF"/>
    <w:rsid w:val="00807128"/>
    <w:rsid w:val="008075E6"/>
    <w:rsid w:val="00811840"/>
    <w:rsid w:val="0081301C"/>
    <w:rsid w:val="00816F92"/>
    <w:rsid w:val="00817BFB"/>
    <w:rsid w:val="00822662"/>
    <w:rsid w:val="00827AB4"/>
    <w:rsid w:val="00827AC3"/>
    <w:rsid w:val="008327B1"/>
    <w:rsid w:val="00833D0D"/>
    <w:rsid w:val="00841DEF"/>
    <w:rsid w:val="0084701F"/>
    <w:rsid w:val="00850324"/>
    <w:rsid w:val="008534A3"/>
    <w:rsid w:val="008537CA"/>
    <w:rsid w:val="00853AF7"/>
    <w:rsid w:val="00856697"/>
    <w:rsid w:val="0086115B"/>
    <w:rsid w:val="00862142"/>
    <w:rsid w:val="008627D0"/>
    <w:rsid w:val="00863B6D"/>
    <w:rsid w:val="008765F0"/>
    <w:rsid w:val="00886466"/>
    <w:rsid w:val="0089385D"/>
    <w:rsid w:val="00894573"/>
    <w:rsid w:val="00895074"/>
    <w:rsid w:val="008959AC"/>
    <w:rsid w:val="0089707D"/>
    <w:rsid w:val="008A03EA"/>
    <w:rsid w:val="008A1005"/>
    <w:rsid w:val="008A16A6"/>
    <w:rsid w:val="008A2779"/>
    <w:rsid w:val="008B3A66"/>
    <w:rsid w:val="008B6698"/>
    <w:rsid w:val="008C778E"/>
    <w:rsid w:val="008D186F"/>
    <w:rsid w:val="008D2117"/>
    <w:rsid w:val="008D2EF0"/>
    <w:rsid w:val="008E2C34"/>
    <w:rsid w:val="008E7150"/>
    <w:rsid w:val="008F2D62"/>
    <w:rsid w:val="008F5DCD"/>
    <w:rsid w:val="008F6014"/>
    <w:rsid w:val="00902BCF"/>
    <w:rsid w:val="00904780"/>
    <w:rsid w:val="009059A0"/>
    <w:rsid w:val="00906377"/>
    <w:rsid w:val="009078D6"/>
    <w:rsid w:val="00911516"/>
    <w:rsid w:val="009162B4"/>
    <w:rsid w:val="00922FAB"/>
    <w:rsid w:val="00924827"/>
    <w:rsid w:val="00924AFC"/>
    <w:rsid w:val="009265D3"/>
    <w:rsid w:val="00926A85"/>
    <w:rsid w:val="00930CB5"/>
    <w:rsid w:val="009316E4"/>
    <w:rsid w:val="0093276E"/>
    <w:rsid w:val="0093583C"/>
    <w:rsid w:val="00937EF3"/>
    <w:rsid w:val="009477A5"/>
    <w:rsid w:val="00947C4B"/>
    <w:rsid w:val="00947F04"/>
    <w:rsid w:val="00951B70"/>
    <w:rsid w:val="0095754B"/>
    <w:rsid w:val="00961525"/>
    <w:rsid w:val="00961541"/>
    <w:rsid w:val="00963041"/>
    <w:rsid w:val="00975C39"/>
    <w:rsid w:val="00977AF0"/>
    <w:rsid w:val="00981E9F"/>
    <w:rsid w:val="00984077"/>
    <w:rsid w:val="009A2AC0"/>
    <w:rsid w:val="009A4597"/>
    <w:rsid w:val="009B1581"/>
    <w:rsid w:val="009B6172"/>
    <w:rsid w:val="009C71ED"/>
    <w:rsid w:val="009D14B5"/>
    <w:rsid w:val="009D5AEF"/>
    <w:rsid w:val="009D788B"/>
    <w:rsid w:val="009E23EB"/>
    <w:rsid w:val="009E3BB4"/>
    <w:rsid w:val="009E6849"/>
    <w:rsid w:val="009E6A3C"/>
    <w:rsid w:val="009E714B"/>
    <w:rsid w:val="009F0480"/>
    <w:rsid w:val="009F2EF7"/>
    <w:rsid w:val="00A00006"/>
    <w:rsid w:val="00A133BA"/>
    <w:rsid w:val="00A2095D"/>
    <w:rsid w:val="00A221E5"/>
    <w:rsid w:val="00A2428D"/>
    <w:rsid w:val="00A25C08"/>
    <w:rsid w:val="00A25D82"/>
    <w:rsid w:val="00A32D8B"/>
    <w:rsid w:val="00A35AAA"/>
    <w:rsid w:val="00A36786"/>
    <w:rsid w:val="00A42B67"/>
    <w:rsid w:val="00A45F49"/>
    <w:rsid w:val="00A46D76"/>
    <w:rsid w:val="00A53BD4"/>
    <w:rsid w:val="00A55031"/>
    <w:rsid w:val="00A57143"/>
    <w:rsid w:val="00A63F15"/>
    <w:rsid w:val="00A7215B"/>
    <w:rsid w:val="00A7333C"/>
    <w:rsid w:val="00A8152D"/>
    <w:rsid w:val="00A81F59"/>
    <w:rsid w:val="00A843E9"/>
    <w:rsid w:val="00A848AE"/>
    <w:rsid w:val="00A85D41"/>
    <w:rsid w:val="00A86C08"/>
    <w:rsid w:val="00A9325B"/>
    <w:rsid w:val="00A9482D"/>
    <w:rsid w:val="00AA4347"/>
    <w:rsid w:val="00AA4883"/>
    <w:rsid w:val="00AB11C3"/>
    <w:rsid w:val="00AB260F"/>
    <w:rsid w:val="00AB3727"/>
    <w:rsid w:val="00AC2168"/>
    <w:rsid w:val="00AC222D"/>
    <w:rsid w:val="00AC4167"/>
    <w:rsid w:val="00AC510B"/>
    <w:rsid w:val="00AC51B4"/>
    <w:rsid w:val="00AD3D3E"/>
    <w:rsid w:val="00AD6544"/>
    <w:rsid w:val="00AD728D"/>
    <w:rsid w:val="00AE2C0D"/>
    <w:rsid w:val="00AE59FD"/>
    <w:rsid w:val="00AE5EBE"/>
    <w:rsid w:val="00AE6DA6"/>
    <w:rsid w:val="00AE7AF8"/>
    <w:rsid w:val="00AE7C17"/>
    <w:rsid w:val="00AF1D28"/>
    <w:rsid w:val="00AF397F"/>
    <w:rsid w:val="00AF3A40"/>
    <w:rsid w:val="00AF47F0"/>
    <w:rsid w:val="00B01CEE"/>
    <w:rsid w:val="00B0313E"/>
    <w:rsid w:val="00B05401"/>
    <w:rsid w:val="00B060B5"/>
    <w:rsid w:val="00B11342"/>
    <w:rsid w:val="00B141C6"/>
    <w:rsid w:val="00B25636"/>
    <w:rsid w:val="00B3580F"/>
    <w:rsid w:val="00B35B6E"/>
    <w:rsid w:val="00B35E70"/>
    <w:rsid w:val="00B40632"/>
    <w:rsid w:val="00B43A54"/>
    <w:rsid w:val="00B5071F"/>
    <w:rsid w:val="00B530FA"/>
    <w:rsid w:val="00B552B0"/>
    <w:rsid w:val="00B624B9"/>
    <w:rsid w:val="00B65D71"/>
    <w:rsid w:val="00B705DF"/>
    <w:rsid w:val="00B80190"/>
    <w:rsid w:val="00B87869"/>
    <w:rsid w:val="00B90ADB"/>
    <w:rsid w:val="00B96331"/>
    <w:rsid w:val="00BA6196"/>
    <w:rsid w:val="00BA678B"/>
    <w:rsid w:val="00BB00F9"/>
    <w:rsid w:val="00BB047B"/>
    <w:rsid w:val="00BB055B"/>
    <w:rsid w:val="00BB0658"/>
    <w:rsid w:val="00BB3C88"/>
    <w:rsid w:val="00BB6DE9"/>
    <w:rsid w:val="00BC0E24"/>
    <w:rsid w:val="00BC1C2E"/>
    <w:rsid w:val="00BC1EB7"/>
    <w:rsid w:val="00BC3D8B"/>
    <w:rsid w:val="00BC5682"/>
    <w:rsid w:val="00BC6780"/>
    <w:rsid w:val="00BD20F0"/>
    <w:rsid w:val="00BD3CA7"/>
    <w:rsid w:val="00BD42B0"/>
    <w:rsid w:val="00BE0888"/>
    <w:rsid w:val="00BE19E1"/>
    <w:rsid w:val="00BE28F2"/>
    <w:rsid w:val="00BE3DD3"/>
    <w:rsid w:val="00BE3E06"/>
    <w:rsid w:val="00BF70E2"/>
    <w:rsid w:val="00C01D31"/>
    <w:rsid w:val="00C06198"/>
    <w:rsid w:val="00C10BF6"/>
    <w:rsid w:val="00C10DD1"/>
    <w:rsid w:val="00C114F9"/>
    <w:rsid w:val="00C221B3"/>
    <w:rsid w:val="00C22B04"/>
    <w:rsid w:val="00C3244C"/>
    <w:rsid w:val="00C34506"/>
    <w:rsid w:val="00C3666E"/>
    <w:rsid w:val="00C423B7"/>
    <w:rsid w:val="00C45A62"/>
    <w:rsid w:val="00C45DC8"/>
    <w:rsid w:val="00C47141"/>
    <w:rsid w:val="00C5002C"/>
    <w:rsid w:val="00C54D67"/>
    <w:rsid w:val="00C55300"/>
    <w:rsid w:val="00C562CD"/>
    <w:rsid w:val="00C572DA"/>
    <w:rsid w:val="00C61F72"/>
    <w:rsid w:val="00C6550B"/>
    <w:rsid w:val="00C65F90"/>
    <w:rsid w:val="00C803AD"/>
    <w:rsid w:val="00C805F2"/>
    <w:rsid w:val="00C82ACE"/>
    <w:rsid w:val="00C874C4"/>
    <w:rsid w:val="00C876F7"/>
    <w:rsid w:val="00C923C9"/>
    <w:rsid w:val="00C9280B"/>
    <w:rsid w:val="00C92EC5"/>
    <w:rsid w:val="00C931C3"/>
    <w:rsid w:val="00C95454"/>
    <w:rsid w:val="00C972F4"/>
    <w:rsid w:val="00C97B43"/>
    <w:rsid w:val="00CA5A6D"/>
    <w:rsid w:val="00CA5D2C"/>
    <w:rsid w:val="00CB0FF8"/>
    <w:rsid w:val="00CB3DFA"/>
    <w:rsid w:val="00CB6B0B"/>
    <w:rsid w:val="00CC248E"/>
    <w:rsid w:val="00CC44D1"/>
    <w:rsid w:val="00CC5F0B"/>
    <w:rsid w:val="00CC62E6"/>
    <w:rsid w:val="00CD0689"/>
    <w:rsid w:val="00CD1CD8"/>
    <w:rsid w:val="00CD2154"/>
    <w:rsid w:val="00CD3041"/>
    <w:rsid w:val="00CD52BD"/>
    <w:rsid w:val="00CE2032"/>
    <w:rsid w:val="00CE2159"/>
    <w:rsid w:val="00CE5C34"/>
    <w:rsid w:val="00CE5F94"/>
    <w:rsid w:val="00CF05D3"/>
    <w:rsid w:val="00D00683"/>
    <w:rsid w:val="00D011FB"/>
    <w:rsid w:val="00D13116"/>
    <w:rsid w:val="00D17090"/>
    <w:rsid w:val="00D26A9A"/>
    <w:rsid w:val="00D27D2C"/>
    <w:rsid w:val="00D350D6"/>
    <w:rsid w:val="00D405BA"/>
    <w:rsid w:val="00D41CCB"/>
    <w:rsid w:val="00D46448"/>
    <w:rsid w:val="00D502E4"/>
    <w:rsid w:val="00D537A7"/>
    <w:rsid w:val="00D55430"/>
    <w:rsid w:val="00D55E2D"/>
    <w:rsid w:val="00D56EB4"/>
    <w:rsid w:val="00D61D15"/>
    <w:rsid w:val="00D62FC1"/>
    <w:rsid w:val="00D722CB"/>
    <w:rsid w:val="00D73519"/>
    <w:rsid w:val="00D76765"/>
    <w:rsid w:val="00D8276B"/>
    <w:rsid w:val="00D835BB"/>
    <w:rsid w:val="00D842CB"/>
    <w:rsid w:val="00D85134"/>
    <w:rsid w:val="00D87D71"/>
    <w:rsid w:val="00D911D8"/>
    <w:rsid w:val="00D92007"/>
    <w:rsid w:val="00D965BA"/>
    <w:rsid w:val="00D979D0"/>
    <w:rsid w:val="00DA04E3"/>
    <w:rsid w:val="00DA0592"/>
    <w:rsid w:val="00DA160B"/>
    <w:rsid w:val="00DA3C9A"/>
    <w:rsid w:val="00DA4DCC"/>
    <w:rsid w:val="00DA764F"/>
    <w:rsid w:val="00DB3F6F"/>
    <w:rsid w:val="00DB519D"/>
    <w:rsid w:val="00DB70B0"/>
    <w:rsid w:val="00DB7749"/>
    <w:rsid w:val="00DC7939"/>
    <w:rsid w:val="00DD1F08"/>
    <w:rsid w:val="00DD3016"/>
    <w:rsid w:val="00DE0500"/>
    <w:rsid w:val="00DE3D89"/>
    <w:rsid w:val="00DE66B4"/>
    <w:rsid w:val="00DE78B2"/>
    <w:rsid w:val="00DE7A70"/>
    <w:rsid w:val="00DF139C"/>
    <w:rsid w:val="00DF65A1"/>
    <w:rsid w:val="00E0179B"/>
    <w:rsid w:val="00E0223C"/>
    <w:rsid w:val="00E06EAF"/>
    <w:rsid w:val="00E10A4B"/>
    <w:rsid w:val="00E16B2D"/>
    <w:rsid w:val="00E234D8"/>
    <w:rsid w:val="00E370B3"/>
    <w:rsid w:val="00E401F0"/>
    <w:rsid w:val="00E41094"/>
    <w:rsid w:val="00E46143"/>
    <w:rsid w:val="00E52FA2"/>
    <w:rsid w:val="00E55758"/>
    <w:rsid w:val="00E55A1E"/>
    <w:rsid w:val="00E5669B"/>
    <w:rsid w:val="00E6289F"/>
    <w:rsid w:val="00E64CE3"/>
    <w:rsid w:val="00E70335"/>
    <w:rsid w:val="00E71006"/>
    <w:rsid w:val="00E76310"/>
    <w:rsid w:val="00E77874"/>
    <w:rsid w:val="00E77A90"/>
    <w:rsid w:val="00E77CD5"/>
    <w:rsid w:val="00E80CC2"/>
    <w:rsid w:val="00E80E5D"/>
    <w:rsid w:val="00E812E4"/>
    <w:rsid w:val="00E830D5"/>
    <w:rsid w:val="00E85922"/>
    <w:rsid w:val="00E910DE"/>
    <w:rsid w:val="00E92C7E"/>
    <w:rsid w:val="00E95DC1"/>
    <w:rsid w:val="00E967FD"/>
    <w:rsid w:val="00EA12F7"/>
    <w:rsid w:val="00EA13B7"/>
    <w:rsid w:val="00EA3CBD"/>
    <w:rsid w:val="00EB1713"/>
    <w:rsid w:val="00EB337C"/>
    <w:rsid w:val="00EB6B75"/>
    <w:rsid w:val="00EB7FBC"/>
    <w:rsid w:val="00EC3202"/>
    <w:rsid w:val="00EC46B3"/>
    <w:rsid w:val="00ED1777"/>
    <w:rsid w:val="00EE3D77"/>
    <w:rsid w:val="00EE5227"/>
    <w:rsid w:val="00EE6BF3"/>
    <w:rsid w:val="00EE711A"/>
    <w:rsid w:val="00EF07AA"/>
    <w:rsid w:val="00EF0FBC"/>
    <w:rsid w:val="00EF21A5"/>
    <w:rsid w:val="00EF24FC"/>
    <w:rsid w:val="00F00187"/>
    <w:rsid w:val="00F006B4"/>
    <w:rsid w:val="00F00DF9"/>
    <w:rsid w:val="00F011A2"/>
    <w:rsid w:val="00F01414"/>
    <w:rsid w:val="00F0207D"/>
    <w:rsid w:val="00F03635"/>
    <w:rsid w:val="00F03748"/>
    <w:rsid w:val="00F0411A"/>
    <w:rsid w:val="00F16233"/>
    <w:rsid w:val="00F2523B"/>
    <w:rsid w:val="00F26973"/>
    <w:rsid w:val="00F27BCD"/>
    <w:rsid w:val="00F3796B"/>
    <w:rsid w:val="00F40755"/>
    <w:rsid w:val="00F40C22"/>
    <w:rsid w:val="00F418D5"/>
    <w:rsid w:val="00F46780"/>
    <w:rsid w:val="00F46842"/>
    <w:rsid w:val="00F50AED"/>
    <w:rsid w:val="00F5163A"/>
    <w:rsid w:val="00F52D7D"/>
    <w:rsid w:val="00F57210"/>
    <w:rsid w:val="00F57815"/>
    <w:rsid w:val="00F647C1"/>
    <w:rsid w:val="00F66FAD"/>
    <w:rsid w:val="00F67517"/>
    <w:rsid w:val="00F71965"/>
    <w:rsid w:val="00F71F21"/>
    <w:rsid w:val="00F74D33"/>
    <w:rsid w:val="00F76F1B"/>
    <w:rsid w:val="00F81010"/>
    <w:rsid w:val="00F8189A"/>
    <w:rsid w:val="00F83DC7"/>
    <w:rsid w:val="00F93E32"/>
    <w:rsid w:val="00F96388"/>
    <w:rsid w:val="00F97B6B"/>
    <w:rsid w:val="00FA2B2F"/>
    <w:rsid w:val="00FA41E2"/>
    <w:rsid w:val="00FB0116"/>
    <w:rsid w:val="00FB1962"/>
    <w:rsid w:val="00FB1B03"/>
    <w:rsid w:val="00FB3390"/>
    <w:rsid w:val="00FB6BAC"/>
    <w:rsid w:val="00FC1DEE"/>
    <w:rsid w:val="00FC1E70"/>
    <w:rsid w:val="00FC62D7"/>
    <w:rsid w:val="00FC7840"/>
    <w:rsid w:val="00FD3213"/>
    <w:rsid w:val="00FD7083"/>
    <w:rsid w:val="00FD7200"/>
    <w:rsid w:val="00FE33F3"/>
    <w:rsid w:val="00FE34CE"/>
    <w:rsid w:val="00FE717A"/>
    <w:rsid w:val="00FF1197"/>
    <w:rsid w:val="00FF2D35"/>
    <w:rsid w:val="00FF43FD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429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F3"/>
    <w:pPr>
      <w:spacing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6434"/>
    <w:pPr>
      <w:numPr>
        <w:numId w:val="1"/>
      </w:numPr>
      <w:spacing w:before="240" w:after="240"/>
      <w:outlineLvl w:val="0"/>
    </w:pPr>
    <w:rPr>
      <w:rFonts w:eastAsia="+mn-ea" w:cstheme="minorHAnsi"/>
      <w:b/>
      <w:bCs/>
      <w:color w:val="123378"/>
      <w:kern w:val="24"/>
      <w:sz w:val="36"/>
      <w:szCs w:val="24"/>
      <w:lang w:eastAsia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073E90"/>
    <w:pPr>
      <w:numPr>
        <w:ilvl w:val="1"/>
      </w:numPr>
      <w:spacing w:before="160" w:after="160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D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2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6530F"/>
    <w:pPr>
      <w:spacing w:before="5160" w:after="5880"/>
      <w:jc w:val="center"/>
    </w:pPr>
    <w:rPr>
      <w:rFonts w:eastAsia="+mn-ea" w:cstheme="minorHAnsi"/>
      <w:b/>
      <w:bCs/>
      <w:color w:val="123378"/>
      <w:kern w:val="24"/>
      <w:sz w:val="5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30F"/>
    <w:rPr>
      <w:rFonts w:eastAsia="+mn-ea" w:cstheme="minorHAnsi"/>
      <w:b/>
      <w:bCs/>
      <w:color w:val="000000"/>
      <w:kern w:val="24"/>
      <w:sz w:val="52"/>
      <w:szCs w:val="56"/>
    </w:rPr>
  </w:style>
  <w:style w:type="paragraph" w:styleId="Podtytu">
    <w:name w:val="Subtitle"/>
    <w:basedOn w:val="NormalnyWeb"/>
    <w:next w:val="Normalny"/>
    <w:link w:val="PodtytuZnak"/>
    <w:uiPriority w:val="11"/>
    <w:qFormat/>
    <w:rsid w:val="0006530F"/>
    <w:pPr>
      <w:spacing w:before="0" w:beforeAutospacing="0" w:after="0" w:afterAutospacing="0" w:line="276" w:lineRule="auto"/>
      <w:jc w:val="right"/>
    </w:pPr>
    <w:rPr>
      <w:rFonts w:asciiTheme="minorHAnsi" w:eastAsia="+mn-ea" w:hAnsiTheme="minorHAnsi" w:cstheme="minorHAnsi"/>
      <w:b/>
      <w:bCs/>
      <w:color w:val="123378"/>
      <w:kern w:val="24"/>
      <w:sz w:val="28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06530F"/>
    <w:rPr>
      <w:rFonts w:eastAsia="+mn-ea" w:cstheme="minorHAnsi"/>
      <w:b/>
      <w:bCs/>
      <w:color w:val="000000"/>
      <w:kern w:val="24"/>
      <w:sz w:val="28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30F"/>
  </w:style>
  <w:style w:type="paragraph" w:styleId="Stopka">
    <w:name w:val="footer"/>
    <w:basedOn w:val="Normalny"/>
    <w:link w:val="StopkaZnak"/>
    <w:uiPriority w:val="99"/>
    <w:unhideWhenUsed/>
    <w:rsid w:val="0006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30F"/>
  </w:style>
  <w:style w:type="character" w:customStyle="1" w:styleId="Nagwek1Znak">
    <w:name w:val="Nagłówek 1 Znak"/>
    <w:basedOn w:val="Domylnaczcionkaakapitu"/>
    <w:link w:val="Nagwek1"/>
    <w:uiPriority w:val="9"/>
    <w:rsid w:val="005A6434"/>
    <w:rPr>
      <w:rFonts w:eastAsia="+mn-ea" w:cstheme="minorHAnsi"/>
      <w:b/>
      <w:bCs/>
      <w:color w:val="123378"/>
      <w:kern w:val="24"/>
      <w:sz w:val="36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29F3"/>
  </w:style>
  <w:style w:type="paragraph" w:styleId="Spistreci1">
    <w:name w:val="toc 1"/>
    <w:basedOn w:val="Normalny"/>
    <w:next w:val="Normalny"/>
    <w:autoRedefine/>
    <w:uiPriority w:val="39"/>
    <w:unhideWhenUsed/>
    <w:rsid w:val="00977AF0"/>
    <w:pPr>
      <w:tabs>
        <w:tab w:val="left" w:pos="440"/>
        <w:tab w:val="right" w:leader="dot" w:pos="9062"/>
      </w:tabs>
      <w:spacing w:after="0"/>
      <w:contextualSpacing/>
    </w:pPr>
  </w:style>
  <w:style w:type="character" w:styleId="Hipercze">
    <w:name w:val="Hyperlink"/>
    <w:basedOn w:val="Domylnaczcionkaakapitu"/>
    <w:uiPriority w:val="99"/>
    <w:unhideWhenUsed/>
    <w:rsid w:val="00EF21A5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7668B7"/>
    <w:rPr>
      <w:rFonts w:asciiTheme="minorHAnsi" w:hAnsiTheme="minorHAnsi" w:cstheme="minorHAnsi"/>
      <w:b/>
      <w:bCs/>
    </w:rPr>
  </w:style>
  <w:style w:type="table" w:customStyle="1" w:styleId="Tabelaanaliza">
    <w:name w:val="Tabela analiza"/>
    <w:basedOn w:val="Standardowy"/>
    <w:uiPriority w:val="99"/>
    <w:rsid w:val="004056D2"/>
    <w:pPr>
      <w:spacing w:after="0" w:line="240" w:lineRule="auto"/>
    </w:pPr>
    <w:rPr>
      <w:sz w:val="24"/>
    </w:rPr>
    <w:tblPr>
      <w:tblStyleRowBandSize w:val="1"/>
      <w:tblBorders>
        <w:top w:val="single" w:sz="4" w:space="0" w:color="283772"/>
        <w:left w:val="single" w:sz="4" w:space="0" w:color="283772"/>
        <w:bottom w:val="single" w:sz="4" w:space="0" w:color="283772"/>
        <w:right w:val="single" w:sz="4" w:space="0" w:color="283772"/>
        <w:insideH w:val="single" w:sz="4" w:space="0" w:color="283772"/>
        <w:insideV w:val="single" w:sz="4" w:space="0" w:color="283772"/>
      </w:tblBorders>
    </w:tbl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283772"/>
      </w:tcPr>
    </w:tblStylePr>
    <w:tblStylePr w:type="firstCol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283772"/>
      </w:tcPr>
    </w:tblStylePr>
    <w:tblStylePr w:type="band1Horz">
      <w:rPr>
        <w:rFonts w:asciiTheme="minorHAnsi" w:hAnsiTheme="minorHAnsi"/>
        <w:color w:val="283772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FFFFFF" w:themeFill="background1"/>
      </w:tcPr>
    </w:tblStylePr>
    <w:tblStylePr w:type="band2Horz">
      <w:rPr>
        <w:rFonts w:asciiTheme="minorHAnsi" w:hAnsiTheme="minorHAnsi"/>
        <w:color w:val="283772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E6E9F6"/>
      </w:tcPr>
    </w:tblStylePr>
  </w:style>
  <w:style w:type="table" w:styleId="Tabela-Siatka">
    <w:name w:val="Table Grid"/>
    <w:basedOn w:val="Standardowy"/>
    <w:uiPriority w:val="39"/>
    <w:rsid w:val="00C8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wykresu">
    <w:name w:val="Tytuł wykresu"/>
    <w:basedOn w:val="Normalny"/>
    <w:link w:val="TytuwykresuZnak"/>
    <w:qFormat/>
    <w:rsid w:val="00822662"/>
    <w:rPr>
      <w:rFonts w:cstheme="minorHAnsi"/>
      <w:bCs/>
      <w:szCs w:val="24"/>
    </w:rPr>
  </w:style>
  <w:style w:type="character" w:customStyle="1" w:styleId="TytuwykresuZnak">
    <w:name w:val="Tytuł wykresu Znak"/>
    <w:basedOn w:val="Domylnaczcionkaakapitu"/>
    <w:link w:val="Tytuwykresu"/>
    <w:rsid w:val="00822662"/>
    <w:rPr>
      <w:rFonts w:cstheme="minorHAnsi"/>
      <w:bCs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5A6434"/>
    <w:pPr>
      <w:spacing w:line="240" w:lineRule="auto"/>
      <w:jc w:val="center"/>
    </w:pPr>
    <w:rPr>
      <w:i/>
      <w:iCs/>
      <w:sz w:val="22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73E90"/>
    <w:rPr>
      <w:rFonts w:eastAsia="+mn-ea" w:cstheme="minorHAnsi"/>
      <w:b/>
      <w:bCs/>
      <w:color w:val="123378"/>
      <w:kern w:val="24"/>
      <w:sz w:val="3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4F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F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F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FC8"/>
    <w:rPr>
      <w:rFonts w:ascii="Segoe UI" w:hAnsi="Segoe UI" w:cs="Segoe UI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5C03F8"/>
    <w:pPr>
      <w:spacing w:after="0"/>
    </w:pPr>
  </w:style>
  <w:style w:type="paragraph" w:styleId="Spistreci2">
    <w:name w:val="toc 2"/>
    <w:basedOn w:val="Normalny"/>
    <w:next w:val="Normalny"/>
    <w:autoRedefine/>
    <w:uiPriority w:val="39"/>
    <w:unhideWhenUsed/>
    <w:rsid w:val="0026119A"/>
    <w:pPr>
      <w:spacing w:after="100"/>
      <w:ind w:left="24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11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11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119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D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2610D2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footer" Target="footer1.xml"/><Relationship Id="rId50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chart" Target="charts/chart3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fontTable" Target="fontTable.xml"/><Relationship Id="rId8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solidFill>
                  <a:schemeClr val="bg1">
                    <a:lumMod val="50000"/>
                  </a:schemeClr>
                </a:solidFill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5983-41E3-A07B-A5FF2AB2C6AB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5983-41E3-A07B-A5FF2AB2C6AB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5983-41E3-A07B-A5FF2AB2C6AB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PAX'!$P$5:$P$7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'PAX PAX'!$R$5:$R$7</c:f>
              <c:numCache>
                <c:formatCode>#,##0</c:formatCode>
                <c:ptCount val="3"/>
                <c:pt idx="0">
                  <c:v>29741333</c:v>
                </c:pt>
                <c:pt idx="1">
                  <c:v>26593215</c:v>
                </c:pt>
                <c:pt idx="2">
                  <c:v>23234347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983-41E3-A07B-A5FF2AB2C6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56000"/>
        <c:axId val="107457536"/>
      </c:barChart>
      <c:catAx>
        <c:axId val="107456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457536"/>
        <c:crosses val="autoZero"/>
        <c:auto val="1"/>
        <c:lblAlgn val="ctr"/>
        <c:lblOffset val="100"/>
        <c:noMultiLvlLbl val="0"/>
      </c:catAx>
      <c:valAx>
        <c:axId val="10745753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07456000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630-45B0-A465-8E014499E8F0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630-45B0-A465-8E014499E8F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ACI_nowe!$B$13:$B$14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ACI_nowe!$C$13:$C$14</c:f>
              <c:numCache>
                <c:formatCode>0.00%</c:formatCode>
                <c:ptCount val="2"/>
                <c:pt idx="0">
                  <c:v>0.11838049667932204</c:v>
                </c:pt>
                <c:pt idx="1">
                  <c:v>4.4999999999999998E-2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630-45B0-A465-8E014499E8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214400"/>
        <c:axId val="154215936"/>
      </c:barChart>
      <c:catAx>
        <c:axId val="154214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215936"/>
        <c:crosses val="autoZero"/>
        <c:auto val="1"/>
        <c:lblAlgn val="ctr"/>
        <c:lblOffset val="100"/>
        <c:noMultiLvlLbl val="0"/>
      </c:catAx>
      <c:valAx>
        <c:axId val="154215936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2144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FEA-4F47-9D5A-0A5C0A4C0A3D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2-3FEA-4F47-9D5A-0A5C0A4C0A3D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ACI_nowe!$B$15:$B$16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ACI_nowe!$C$15:$C$16</c:f>
              <c:numCache>
                <c:formatCode>0.00%</c:formatCode>
                <c:ptCount val="2"/>
                <c:pt idx="0">
                  <c:v>0.15081450926387641</c:v>
                </c:pt>
                <c:pt idx="1">
                  <c:v>5.3999999999999999E-2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FEA-4F47-9D5A-0A5C0A4C0A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408832"/>
        <c:axId val="154410368"/>
      </c:barChart>
      <c:catAx>
        <c:axId val="154408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410368"/>
        <c:crosses val="autoZero"/>
        <c:auto val="1"/>
        <c:lblAlgn val="ctr"/>
        <c:lblOffset val="100"/>
        <c:noMultiLvlLbl val="0"/>
      </c:catAx>
      <c:valAx>
        <c:axId val="15441036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4088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D5E8-4708-B867-C904B8374B15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D5E8-4708-B867-C904B8374B1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ACI_nowe!$B$17:$B$18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ACI_nowe!$C$17:$C$18</c:f>
              <c:numCache>
                <c:formatCode>0.00%</c:formatCode>
                <c:ptCount val="2"/>
                <c:pt idx="0">
                  <c:v>7.8943720778636317E-2</c:v>
                </c:pt>
                <c:pt idx="1">
                  <c:v>5.3999999999999999E-2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5E8-4708-B867-C904B8374B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439680"/>
        <c:axId val="154441216"/>
      </c:barChart>
      <c:catAx>
        <c:axId val="154439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441216"/>
        <c:crosses val="autoZero"/>
        <c:auto val="1"/>
        <c:lblAlgn val="ctr"/>
        <c:lblOffset val="100"/>
        <c:noMultiLvlLbl val="0"/>
      </c:catAx>
      <c:valAx>
        <c:axId val="154441216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4396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15B-4BB9-BBEC-91017DE8A4D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ACI_nowe!$B$21:$B$22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ACI_nowe!$C$21:$C$22</c:f>
              <c:numCache>
                <c:formatCode>0.00%</c:formatCode>
                <c:ptCount val="2"/>
                <c:pt idx="0">
                  <c:v>5.9549522821121803E-2</c:v>
                </c:pt>
                <c:pt idx="1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5B-4BB9-BBEC-91017DE8A4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9240576"/>
        <c:axId val="399242368"/>
      </c:barChart>
      <c:catAx>
        <c:axId val="399240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399242368"/>
        <c:crosses val="autoZero"/>
        <c:auto val="1"/>
        <c:lblAlgn val="ctr"/>
        <c:lblOffset val="100"/>
        <c:noMultiLvlLbl val="0"/>
      </c:catAx>
      <c:valAx>
        <c:axId val="39924236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3992405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PORTY!$Y$258</c:f>
              <c:strCache>
                <c:ptCount val="1"/>
                <c:pt idx="0">
                  <c:v>Wartościowo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cat>
            <c:strRef>
              <c:f>PORTY!$Z$257:$AN$257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cat>
          <c:val>
            <c:numRef>
              <c:f>PORTY!$Z$258:$AN$258</c:f>
              <c:numCache>
                <c:formatCode>#,##0</c:formatCode>
                <c:ptCount val="15"/>
                <c:pt idx="0">
                  <c:v>1282679</c:v>
                </c:pt>
                <c:pt idx="1">
                  <c:v>953285</c:v>
                </c:pt>
                <c:pt idx="2">
                  <c:v>395402</c:v>
                </c:pt>
                <c:pt idx="3">
                  <c:v>362246</c:v>
                </c:pt>
                <c:pt idx="4">
                  <c:v>310659</c:v>
                </c:pt>
                <c:pt idx="5">
                  <c:v>301072</c:v>
                </c:pt>
                <c:pt idx="6">
                  <c:v>-596983</c:v>
                </c:pt>
                <c:pt idx="7">
                  <c:v>88174</c:v>
                </c:pt>
                <c:pt idx="8">
                  <c:v>270</c:v>
                </c:pt>
                <c:pt idx="9">
                  <c:v>13933</c:v>
                </c:pt>
                <c:pt idx="10">
                  <c:v>26439</c:v>
                </c:pt>
                <c:pt idx="11">
                  <c:v>19974</c:v>
                </c:pt>
                <c:pt idx="12">
                  <c:v>-1147</c:v>
                </c:pt>
                <c:pt idx="13">
                  <c:v>4984</c:v>
                </c:pt>
                <c:pt idx="14">
                  <c:v>-12869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7D-4A0E-8D65-114993CA4B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9363968"/>
        <c:axId val="599365504"/>
      </c:barChart>
      <c:scatterChart>
        <c:scatterStyle val="lineMarker"/>
        <c:varyColors val="0"/>
        <c:ser>
          <c:idx val="1"/>
          <c:order val="1"/>
          <c:tx>
            <c:strRef>
              <c:f>PORTY!$Y$259</c:f>
              <c:strCache>
                <c:ptCount val="1"/>
                <c:pt idx="0">
                  <c:v>Procentowo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rgbClr val="FFC000"/>
              </a:solidFill>
              <a:ln w="6350"/>
            </c:spPr>
          </c:marker>
          <c:dLbls>
            <c:dLbl>
              <c:idx val="0"/>
              <c:layout>
                <c:manualLayout>
                  <c:x val="-4.160970231532525E-2"/>
                  <c:y val="-0.4576446852684256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C7D-4A0E-8D65-114993CA4BCE}"/>
                </c:ext>
              </c:extLst>
            </c:dLbl>
            <c:dLbl>
              <c:idx val="1"/>
              <c:layout>
                <c:manualLayout>
                  <c:x val="-4.3814773980154334E-2"/>
                  <c:y val="-6.7913706504629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7D-4A0E-8D65-114993CA4BCE}"/>
                </c:ext>
              </c:extLst>
            </c:dLbl>
            <c:dLbl>
              <c:idx val="5"/>
              <c:layout>
                <c:manualLayout>
                  <c:x val="-4.3814773980154355E-2"/>
                  <c:y val="-5.7365420665214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55-4311-8598-4C05BC5C7ABC}"/>
                </c:ext>
              </c:extLst>
            </c:dLbl>
            <c:dLbl>
              <c:idx val="6"/>
              <c:layout>
                <c:manualLayout>
                  <c:x val="-2.1405863407096163E-2"/>
                  <c:y val="1.7105140191197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455-4311-8598-4C05BC5C7ABC}"/>
                </c:ext>
              </c:extLst>
            </c:dLbl>
            <c:dLbl>
              <c:idx val="8"/>
              <c:layout>
                <c:manualLayout>
                  <c:x val="-4.336837718879407E-2"/>
                  <c:y val="4.5031600512351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455-4311-8598-4C05BC5C7ABC}"/>
                </c:ext>
              </c:extLst>
            </c:dLbl>
            <c:dLbl>
              <c:idx val="12"/>
              <c:layout>
                <c:manualLayout>
                  <c:x val="-4.7866723385045447E-2"/>
                  <c:y val="-4.8056600558162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55-4311-8598-4C05BC5C7ABC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PORTY!$Z$257:$AN$257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xVal>
          <c:yVal>
            <c:numRef>
              <c:f>PORTY!$Z$259:$AM$259</c:f>
              <c:numCache>
                <c:formatCode>0%</c:formatCode>
                <c:ptCount val="14"/>
                <c:pt idx="0">
                  <c:v>0.13184382084652779</c:v>
                </c:pt>
                <c:pt idx="1">
                  <c:v>0.18702332384109144</c:v>
                </c:pt>
                <c:pt idx="2">
                  <c:v>0.15149426458795423</c:v>
                </c:pt>
                <c:pt idx="3">
                  <c:v>0.12209480256319338</c:v>
                </c:pt>
                <c:pt idx="4">
                  <c:v>0.15595331325301198</c:v>
                </c:pt>
                <c:pt idx="5">
                  <c:v>0.2007267102692829</c:v>
                </c:pt>
                <c:pt idx="6">
                  <c:v>-0.43469140036509291</c:v>
                </c:pt>
                <c:pt idx="7">
                  <c:v>0.19215840962731634</c:v>
                </c:pt>
                <c:pt idx="8">
                  <c:v>1.2648088030693394E-3</c:v>
                </c:pt>
                <c:pt idx="9">
                  <c:v>8.3582286530132333E-2</c:v>
                </c:pt>
                <c:pt idx="10">
                  <c:v>0.1486807180133165</c:v>
                </c:pt>
                <c:pt idx="11">
                  <c:v>0.10226504741035036</c:v>
                </c:pt>
                <c:pt idx="12">
                  <c:v>-3.0332681017612551E-2</c:v>
                </c:pt>
                <c:pt idx="13">
                  <c:v>0.16371579673488168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C7D-4A0E-8D65-114993CA4B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9372928"/>
        <c:axId val="599367040"/>
      </c:scatterChart>
      <c:catAx>
        <c:axId val="599363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599365504"/>
        <c:crosses val="autoZero"/>
        <c:auto val="1"/>
        <c:lblAlgn val="ctr"/>
        <c:lblOffset val="100"/>
        <c:noMultiLvlLbl val="0"/>
      </c:catAx>
      <c:valAx>
        <c:axId val="599365504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#,##0.0" sourceLinked="0"/>
        <c:majorTickMark val="out"/>
        <c:minorTickMark val="none"/>
        <c:tickLblPos val="nextTo"/>
        <c:crossAx val="599363968"/>
        <c:crosses val="autoZero"/>
        <c:crossBetween val="between"/>
        <c:dispUnits>
          <c:builtInUnit val="millions"/>
          <c:dispUnitsLbl/>
        </c:dispUnits>
      </c:valAx>
      <c:valAx>
        <c:axId val="599367040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599372928"/>
        <c:crosses val="max"/>
        <c:crossBetween val="midCat"/>
      </c:valAx>
      <c:valAx>
        <c:axId val="599372928"/>
        <c:scaling>
          <c:orientation val="minMax"/>
        </c:scaling>
        <c:delete val="1"/>
        <c:axPos val="b"/>
        <c:majorTickMark val="out"/>
        <c:minorTickMark val="none"/>
        <c:tickLblPos val="nextTo"/>
        <c:crossAx val="599367040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PORTY!$C$258</c:f>
              <c:strCache>
                <c:ptCount val="1"/>
                <c:pt idx="0">
                  <c:v>Wartościowo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cat>
            <c:strRef>
              <c:f>PORTY!$D$257:$R$257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cat>
          <c:val>
            <c:numRef>
              <c:f>PORTY!$D$258:$R$258</c:f>
              <c:numCache>
                <c:formatCode>#,##0</c:formatCode>
                <c:ptCount val="15"/>
                <c:pt idx="0">
                  <c:v>748240</c:v>
                </c:pt>
                <c:pt idx="1">
                  <c:v>479906</c:v>
                </c:pt>
                <c:pt idx="2">
                  <c:v>231155</c:v>
                </c:pt>
                <c:pt idx="3">
                  <c:v>215326</c:v>
                </c:pt>
                <c:pt idx="4">
                  <c:v>218722</c:v>
                </c:pt>
                <c:pt idx="5">
                  <c:v>162735</c:v>
                </c:pt>
                <c:pt idx="6">
                  <c:v>-334675</c:v>
                </c:pt>
                <c:pt idx="7">
                  <c:v>65150</c:v>
                </c:pt>
                <c:pt idx="8">
                  <c:v>-84</c:v>
                </c:pt>
                <c:pt idx="9">
                  <c:v>17626</c:v>
                </c:pt>
                <c:pt idx="10">
                  <c:v>22296</c:v>
                </c:pt>
                <c:pt idx="11">
                  <c:v>20075</c:v>
                </c:pt>
                <c:pt idx="12">
                  <c:v>10213</c:v>
                </c:pt>
                <c:pt idx="13">
                  <c:v>1165</c:v>
                </c:pt>
                <c:pt idx="14">
                  <c:v>-7556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F5-41D5-B851-73C9030CF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5906816"/>
        <c:axId val="455908352"/>
      </c:barChart>
      <c:scatterChart>
        <c:scatterStyle val="lineMarker"/>
        <c:varyColors val="0"/>
        <c:ser>
          <c:idx val="1"/>
          <c:order val="1"/>
          <c:tx>
            <c:strRef>
              <c:f>PORTY!$C$259</c:f>
              <c:strCache>
                <c:ptCount val="1"/>
                <c:pt idx="0">
                  <c:v>Procentowo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rgbClr val="FFC000"/>
              </a:solidFill>
              <a:ln w="6350"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0580176926616257E-2"/>
                  <c:y val="-0.2208147416527553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F5-41D5-B851-73C9030CF6CB}"/>
                </c:ext>
              </c:extLst>
            </c:dLbl>
            <c:dLbl>
              <c:idx val="1"/>
              <c:layout>
                <c:manualLayout>
                  <c:x val="-4.3810590277777776E-2"/>
                  <c:y val="-8.52854734681911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F5-41D5-B851-73C9030CF6CB}"/>
                </c:ext>
              </c:extLst>
            </c:dLbl>
            <c:dLbl>
              <c:idx val="6"/>
              <c:layout>
                <c:manualLayout>
                  <c:x val="-1.4790648412608843E-2"/>
                  <c:y val="3.5722780405300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4B-4E13-BEFC-266BDB296381}"/>
                </c:ext>
              </c:extLst>
            </c:dLbl>
            <c:dLbl>
              <c:idx val="8"/>
              <c:layout>
                <c:manualLayout>
                  <c:x val="-4.5573448853623175E-2"/>
                  <c:y val="4.50316005123515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4B-4E13-BEFC-266BDB296381}"/>
                </c:ext>
              </c:extLst>
            </c:dLbl>
            <c:dLbl>
              <c:idx val="12"/>
              <c:layout>
                <c:manualLayout>
                  <c:x val="-5.2276866714703663E-2"/>
                  <c:y val="4.03771904588257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B4B-4E13-BEFC-266BDB296381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PORTY!$D$257:$R$257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xVal>
          <c:yVal>
            <c:numRef>
              <c:f>PORTY!$D$259:$R$259</c:f>
              <c:numCache>
                <c:formatCode>0%</c:formatCode>
                <c:ptCount val="15"/>
                <c:pt idx="0">
                  <c:v>0.13764223834564415</c:v>
                </c:pt>
                <c:pt idx="1">
                  <c:v>0.16372875203336346</c:v>
                </c:pt>
                <c:pt idx="2">
                  <c:v>0.13696629333320698</c:v>
                </c:pt>
                <c:pt idx="3">
                  <c:v>0.12388663641505127</c:v>
                </c:pt>
                <c:pt idx="4">
                  <c:v>0.17713410140413455</c:v>
                </c:pt>
                <c:pt idx="5">
                  <c:v>0.16058302685708825</c:v>
                </c:pt>
                <c:pt idx="6">
                  <c:v>-0.42887092289101358</c:v>
                </c:pt>
                <c:pt idx="7">
                  <c:v>0.23377061415469402</c:v>
                </c:pt>
                <c:pt idx="8">
                  <c:v>-6.5648079402913506E-4</c:v>
                </c:pt>
                <c:pt idx="9">
                  <c:v>0.18392795650676708</c:v>
                </c:pt>
                <c:pt idx="10">
                  <c:v>0.20162960417439124</c:v>
                </c:pt>
                <c:pt idx="11">
                  <c:v>0.18593644354293448</c:v>
                </c:pt>
                <c:pt idx="12">
                  <c:v>0.74087776568734132</c:v>
                </c:pt>
                <c:pt idx="13">
                  <c:v>6.3071842347463658E-2</c:v>
                </c:pt>
                <c:pt idx="14">
                  <c:v>-0.29109681396155185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72F5-41D5-B851-73C9030CF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5928064"/>
        <c:axId val="455926528"/>
      </c:scatterChart>
      <c:catAx>
        <c:axId val="455906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/>
        </c:spPr>
        <c:crossAx val="455908352"/>
        <c:crosses val="autoZero"/>
        <c:auto val="1"/>
        <c:lblAlgn val="ctr"/>
        <c:lblOffset val="100"/>
        <c:noMultiLvlLbl val="0"/>
      </c:catAx>
      <c:valAx>
        <c:axId val="45590835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#,##0.0" sourceLinked="0"/>
        <c:majorTickMark val="out"/>
        <c:minorTickMark val="none"/>
        <c:tickLblPos val="nextTo"/>
        <c:crossAx val="455906816"/>
        <c:crosses val="autoZero"/>
        <c:crossBetween val="between"/>
        <c:dispUnits>
          <c:builtInUnit val="millions"/>
          <c:dispUnitsLbl/>
        </c:dispUnits>
      </c:valAx>
      <c:valAx>
        <c:axId val="455926528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455928064"/>
        <c:crosses val="max"/>
        <c:crossBetween val="midCat"/>
      </c:valAx>
      <c:valAx>
        <c:axId val="455928064"/>
        <c:scaling>
          <c:orientation val="minMax"/>
        </c:scaling>
        <c:delete val="1"/>
        <c:axPos val="b"/>
        <c:majorTickMark val="out"/>
        <c:minorTickMark val="none"/>
        <c:tickLblPos val="nextTo"/>
        <c:crossAx val="455926528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939-45FA-9742-13BA4DD48444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939-45FA-9742-13BA4DD4844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ACI_nowe!$B$23:$B$24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ACI_nowe!$C$23:$C$24</c:f>
              <c:numCache>
                <c:formatCode>0.00%</c:formatCode>
                <c:ptCount val="2"/>
                <c:pt idx="0">
                  <c:v>0.1241275796106156</c:v>
                </c:pt>
                <c:pt idx="1">
                  <c:v>5.7000000000000002E-2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939-45FA-9742-13BA4DD484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0164736"/>
        <c:axId val="400166272"/>
      </c:barChart>
      <c:catAx>
        <c:axId val="400164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400166272"/>
        <c:crosses val="autoZero"/>
        <c:auto val="1"/>
        <c:lblAlgn val="ctr"/>
        <c:lblOffset val="100"/>
        <c:noMultiLvlLbl val="0"/>
      </c:catAx>
      <c:valAx>
        <c:axId val="400166272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spPr>
          <a:ln>
            <a:solidFill>
              <a:srgbClr val="868686"/>
            </a:solidFill>
          </a:ln>
        </c:spPr>
        <c:crossAx val="4001647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1-0A7B-453B-AB87-22B824E32ACB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3-0A7B-453B-AB87-22B824E32A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ACI_nowe!$B$25:$B$26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ACI_nowe!$C$25:$C$26</c:f>
              <c:numCache>
                <c:formatCode>0.00%</c:formatCode>
                <c:ptCount val="2"/>
                <c:pt idx="0">
                  <c:v>3.5257614223528799E-2</c:v>
                </c:pt>
                <c:pt idx="1">
                  <c:v>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7B-453B-AB87-22B824E32A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9464928"/>
        <c:axId val="719464600"/>
      </c:barChart>
      <c:catAx>
        <c:axId val="719464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rgbClr val="86868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19464600"/>
        <c:crosses val="autoZero"/>
        <c:auto val="1"/>
        <c:lblAlgn val="ctr"/>
        <c:lblOffset val="100"/>
        <c:noMultiLvlLbl val="0"/>
      </c:catAx>
      <c:valAx>
        <c:axId val="71946460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solidFill>
              <a:srgbClr val="86868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1946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1200" b="0">
          <a:solidFill>
            <a:sysClr val="windowText" lastClr="000000"/>
          </a:solidFill>
          <a:latin typeface="+mn-lt"/>
        </a:defRPr>
      </a:pPr>
      <a:endParaRPr lang="pl-PL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083-4459-BAB1-9E5C0BBB4D0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083-4459-BAB1-9E5C0BBB4D0A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7083-4459-BAB1-9E5C0BBB4D0A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REGULARNE!$S$8:$S$10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REGULARNE!$U$8:$U$10</c:f>
              <c:numCache>
                <c:formatCode>#,##0</c:formatCode>
                <c:ptCount val="3"/>
                <c:pt idx="0">
                  <c:v>25818806</c:v>
                </c:pt>
                <c:pt idx="1">
                  <c:v>23277163</c:v>
                </c:pt>
                <c:pt idx="2">
                  <c:v>20883916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083-4459-BAB1-9E5C0BBB4D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372544"/>
        <c:axId val="729374080"/>
      </c:barChart>
      <c:catAx>
        <c:axId val="729372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29374080"/>
        <c:crosses val="autoZero"/>
        <c:auto val="1"/>
        <c:lblAlgn val="ctr"/>
        <c:lblOffset val="100"/>
        <c:noMultiLvlLbl val="0"/>
      </c:catAx>
      <c:valAx>
        <c:axId val="72937408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29372544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8FAA-46D9-A228-F64F5AA7CC0B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8FAA-46D9-A228-F64F5AA7CC0B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REGULARNE!$S$21:$S$22</c:f>
              <c:strCache>
                <c:ptCount val="2"/>
                <c:pt idx="0">
                  <c:v>2025 vs 2024</c:v>
                </c:pt>
                <c:pt idx="1">
                  <c:v>2025 vs 2023</c:v>
                </c:pt>
              </c:strCache>
            </c:strRef>
          </c:cat>
          <c:val>
            <c:numRef>
              <c:f>REGULARNE!$T$21:$T$22</c:f>
              <c:numCache>
                <c:formatCode>0.0%</c:formatCode>
                <c:ptCount val="2"/>
                <c:pt idx="0">
                  <c:v>0.10919041121978657</c:v>
                </c:pt>
                <c:pt idx="1">
                  <c:v>0.23630098876092021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AA-46D9-A228-F64F5AA7CC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074560"/>
        <c:axId val="735080448"/>
      </c:barChart>
      <c:catAx>
        <c:axId val="735074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080448"/>
        <c:crosses val="autoZero"/>
        <c:auto val="1"/>
        <c:lblAlgn val="ctr"/>
        <c:lblOffset val="100"/>
        <c:noMultiLvlLbl val="0"/>
      </c:catAx>
      <c:valAx>
        <c:axId val="73508044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0745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3B35-4BC6-B692-BE7A5E5B826E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3B35-4BC6-B692-BE7A5E5B826E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3B35-4BC6-B692-BE7A5E5B826E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PAX'!$P$5:$P$7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'PAX PAX'!$Q$5:$Q$7</c:f>
              <c:numCache>
                <c:formatCode>#,##0</c:formatCode>
                <c:ptCount val="3"/>
                <c:pt idx="0">
                  <c:v>17451070</c:v>
                </c:pt>
                <c:pt idx="1">
                  <c:v>15600776</c:v>
                </c:pt>
                <c:pt idx="2">
                  <c:v>13820516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35-4BC6-B692-BE7A5E5B82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22848"/>
        <c:axId val="107424384"/>
      </c:barChart>
      <c:catAx>
        <c:axId val="107422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424384"/>
        <c:crosses val="autoZero"/>
        <c:auto val="1"/>
        <c:lblAlgn val="ctr"/>
        <c:lblOffset val="100"/>
        <c:noMultiLvlLbl val="0"/>
      </c:catAx>
      <c:valAx>
        <c:axId val="107424384"/>
        <c:scaling>
          <c:orientation val="minMax"/>
        </c:scaling>
        <c:delete val="0"/>
        <c:axPos val="l"/>
        <c:numFmt formatCode="#,##0" sourceLinked="0"/>
        <c:majorTickMark val="out"/>
        <c:minorTickMark val="none"/>
        <c:tickLblPos val="nextTo"/>
        <c:crossAx val="107422848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816294907167006"/>
          <c:y val="5.2345523380520467E-2"/>
          <c:w val="0.85138042933535918"/>
          <c:h val="0.7920895328423988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D78-4DCE-8BC5-88E4FA71FE20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D78-4DCE-8BC5-88E4FA71FE20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1D78-4DCE-8BC5-88E4FA71FE20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REGULARNE!$S$8:$S$10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REGULARNE!$T$8:$T$10</c:f>
              <c:numCache>
                <c:formatCode>#,##0</c:formatCode>
                <c:ptCount val="3"/>
                <c:pt idx="0">
                  <c:v>14671063</c:v>
                </c:pt>
                <c:pt idx="1">
                  <c:v>13158140</c:v>
                </c:pt>
                <c:pt idx="2">
                  <c:v>11974195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78-4DCE-8BC5-88E4FA71FE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095168"/>
        <c:axId val="729101056"/>
      </c:barChart>
      <c:catAx>
        <c:axId val="729095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29101056"/>
        <c:crosses val="autoZero"/>
        <c:auto val="1"/>
        <c:lblAlgn val="ctr"/>
        <c:lblOffset val="100"/>
        <c:noMultiLvlLbl val="0"/>
      </c:catAx>
      <c:valAx>
        <c:axId val="72910105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29095168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E77B-4CFB-9D9B-1E500E68961D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E77B-4CFB-9D9B-1E500E68961D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REGULARNE!$S$17:$S$18</c:f>
              <c:strCache>
                <c:ptCount val="2"/>
                <c:pt idx="0">
                  <c:v>2025 vs 2024</c:v>
                </c:pt>
                <c:pt idx="1">
                  <c:v>2025 vs 2023</c:v>
                </c:pt>
              </c:strCache>
            </c:strRef>
          </c:cat>
          <c:val>
            <c:numRef>
              <c:f>REGULARNE!$T$17:$T$18</c:f>
              <c:numCache>
                <c:formatCode>0.0%</c:formatCode>
                <c:ptCount val="2"/>
                <c:pt idx="0">
                  <c:v>0.11498000477271098</c:v>
                </c:pt>
                <c:pt idx="1">
                  <c:v>0.2252233239896293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7B-4CFB-9D9B-1E500E6896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407872"/>
        <c:axId val="729409408"/>
      </c:barChart>
      <c:catAx>
        <c:axId val="729407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29409408"/>
        <c:crosses val="autoZero"/>
        <c:auto val="1"/>
        <c:lblAlgn val="ctr"/>
        <c:lblOffset val="100"/>
        <c:noMultiLvlLbl val="0"/>
      </c:catAx>
      <c:valAx>
        <c:axId val="72940940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294078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7D4-43F5-B14B-6080779CF883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7D4-43F5-B14B-6080779CF883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77D4-43F5-B14B-6080779CF883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CZARTER!$S$8:$S$10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CZARTER!$U$8:$U$10</c:f>
              <c:numCache>
                <c:formatCode>#,##0</c:formatCode>
                <c:ptCount val="3"/>
                <c:pt idx="0">
                  <c:v>3920365</c:v>
                </c:pt>
                <c:pt idx="1">
                  <c:v>3313016</c:v>
                </c:pt>
                <c:pt idx="2">
                  <c:v>2346118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7D4-43F5-B14B-6080779CF8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621120"/>
        <c:axId val="735622656"/>
      </c:barChart>
      <c:catAx>
        <c:axId val="735621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5622656"/>
        <c:crosses val="autoZero"/>
        <c:auto val="1"/>
        <c:lblAlgn val="ctr"/>
        <c:lblOffset val="100"/>
        <c:noMultiLvlLbl val="0"/>
      </c:catAx>
      <c:valAx>
        <c:axId val="735622656"/>
        <c:scaling>
          <c:orientation val="minMax"/>
        </c:scaling>
        <c:delete val="0"/>
        <c:axPos val="l"/>
        <c:numFmt formatCode="#,##0.0" sourceLinked="0"/>
        <c:majorTickMark val="out"/>
        <c:minorTickMark val="none"/>
        <c:tickLblPos val="nextTo"/>
        <c:crossAx val="735621120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ADA-40ED-9826-8E35483D481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ADA-40ED-9826-8E35483D481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CZARTER!$S$21:$S$22</c:f>
              <c:strCache>
                <c:ptCount val="2"/>
                <c:pt idx="0">
                  <c:v>2025 vs 2024</c:v>
                </c:pt>
                <c:pt idx="1">
                  <c:v>2025 vs 2023</c:v>
                </c:pt>
              </c:strCache>
            </c:strRef>
          </c:cat>
          <c:val>
            <c:numRef>
              <c:f>CZARTER!$T$21:$T$22</c:f>
              <c:numCache>
                <c:formatCode>0.0%</c:formatCode>
                <c:ptCount val="2"/>
                <c:pt idx="0">
                  <c:v>0.18332208477109679</c:v>
                </c:pt>
                <c:pt idx="1">
                  <c:v>0.67100077660202939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ADA-40ED-9826-8E35483D48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986048"/>
        <c:axId val="735987584"/>
      </c:barChart>
      <c:catAx>
        <c:axId val="735986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987584"/>
        <c:crosses val="autoZero"/>
        <c:auto val="1"/>
        <c:lblAlgn val="ctr"/>
        <c:lblOffset val="100"/>
        <c:noMultiLvlLbl val="0"/>
      </c:catAx>
      <c:valAx>
        <c:axId val="735987584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98604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816294907167006"/>
          <c:y val="5.2345523380520467E-2"/>
          <c:w val="0.85138042933535918"/>
          <c:h val="0.7920895328423988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A7F1-41D5-B8A7-FCA026C6C5E1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A7F1-41D5-B8A7-FCA026C6C5E1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A7F1-41D5-B8A7-FCA026C6C5E1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CZARTER!$S$8:$S$10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CZARTER!$T$8:$T$10</c:f>
              <c:numCache>
                <c:formatCode>#,##0</c:formatCode>
                <c:ptCount val="3"/>
                <c:pt idx="0">
                  <c:v>2778708</c:v>
                </c:pt>
                <c:pt idx="1">
                  <c:v>2440463</c:v>
                </c:pt>
                <c:pt idx="2">
                  <c:v>1844313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7F1-41D5-B8A7-FCA026C6C5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577216"/>
        <c:axId val="735578752"/>
      </c:barChart>
      <c:catAx>
        <c:axId val="73557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5578752"/>
        <c:crosses val="autoZero"/>
        <c:auto val="1"/>
        <c:lblAlgn val="ctr"/>
        <c:lblOffset val="100"/>
        <c:noMultiLvlLbl val="0"/>
      </c:catAx>
      <c:valAx>
        <c:axId val="735578752"/>
        <c:scaling>
          <c:orientation val="minMax"/>
        </c:scaling>
        <c:delete val="0"/>
        <c:axPos val="l"/>
        <c:numFmt formatCode="#,##0.0" sourceLinked="0"/>
        <c:majorTickMark val="out"/>
        <c:minorTickMark val="none"/>
        <c:tickLblPos val="nextTo"/>
        <c:crossAx val="735577216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543-47EF-8087-9149DDB624A3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543-47EF-8087-9149DDB624A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CZARTER!$S$17:$S$18</c:f>
              <c:strCache>
                <c:ptCount val="2"/>
                <c:pt idx="0">
                  <c:v>2025 vs 2024</c:v>
                </c:pt>
                <c:pt idx="1">
                  <c:v>2025 vs 2023</c:v>
                </c:pt>
              </c:strCache>
            </c:strRef>
          </c:cat>
          <c:val>
            <c:numRef>
              <c:f>CZARTER!$T$17:$T$18</c:f>
              <c:numCache>
                <c:formatCode>0.0%</c:formatCode>
                <c:ptCount val="2"/>
                <c:pt idx="0">
                  <c:v>0.13859870032858512</c:v>
                </c:pt>
                <c:pt idx="1">
                  <c:v>0.50663580422628907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43-47EF-8087-9149DDB624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648000"/>
        <c:axId val="735657984"/>
      </c:barChart>
      <c:catAx>
        <c:axId val="735648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657984"/>
        <c:crosses val="autoZero"/>
        <c:auto val="1"/>
        <c:lblAlgn val="ctr"/>
        <c:lblOffset val="100"/>
        <c:noMultiLvlLbl val="0"/>
      </c:catAx>
      <c:valAx>
        <c:axId val="735657984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6480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853-4176-B2AD-C6CAD4CFE208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853-4176-B2AD-C6CAD4CFE208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IATA!$B$11:$B$12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IATA!$C$11:$C$12</c:f>
              <c:numCache>
                <c:formatCode>#,##0</c:formatCode>
                <c:ptCount val="2"/>
                <c:pt idx="0">
                  <c:v>50031.367449370009</c:v>
                </c:pt>
                <c:pt idx="1">
                  <c:v>43715.402084450041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853-4176-B2AD-C6CAD4CFE2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55584"/>
        <c:axId val="130357120"/>
      </c:barChart>
      <c:catAx>
        <c:axId val="130355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357120"/>
        <c:crosses val="autoZero"/>
        <c:auto val="1"/>
        <c:lblAlgn val="ctr"/>
        <c:lblOffset val="100"/>
        <c:noMultiLvlLbl val="0"/>
      </c:catAx>
      <c:valAx>
        <c:axId val="1303571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3555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2D9-4D23-B8AC-DF86FEB4D93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2D9-4D23-B8AC-DF86FEB4D93A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F2D9-4D23-B8AC-DF86FEB4D93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IATA!$B$21:$B$23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IATA!$C$21:$C$23</c:f>
              <c:numCache>
                <c:formatCode>0.0%</c:formatCode>
                <c:ptCount val="3"/>
                <c:pt idx="0">
                  <c:v>0.14447917813311428</c:v>
                </c:pt>
                <c:pt idx="1">
                  <c:v>4.4999999999999998E-2</c:v>
                </c:pt>
                <c:pt idx="2">
                  <c:v>5.0999999999999997E-2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2D9-4D23-B8AC-DF86FEB4D9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558592"/>
        <c:axId val="130564480"/>
      </c:barChart>
      <c:catAx>
        <c:axId val="130558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0564480"/>
        <c:crosses val="autoZero"/>
        <c:auto val="1"/>
        <c:lblAlgn val="ctr"/>
        <c:lblOffset val="100"/>
        <c:noMultiLvlLbl val="0"/>
      </c:catAx>
      <c:valAx>
        <c:axId val="130564480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5585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B79B-465F-B06F-323340CA1EE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B79B-465F-B06F-323340CA1EE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IATA!$B$9:$B$10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IATA!$C$9:$C$10</c:f>
              <c:numCache>
                <c:formatCode>#,##0</c:formatCode>
                <c:ptCount val="2"/>
                <c:pt idx="0">
                  <c:v>27803.711368120003</c:v>
                </c:pt>
                <c:pt idx="1">
                  <c:v>24575.465853240064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79B-465F-B06F-323340CA1E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5931392"/>
        <c:axId val="755949568"/>
      </c:barChart>
      <c:catAx>
        <c:axId val="755931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55949568"/>
        <c:crosses val="autoZero"/>
        <c:auto val="1"/>
        <c:lblAlgn val="ctr"/>
        <c:lblOffset val="100"/>
        <c:noMultiLvlLbl val="0"/>
      </c:catAx>
      <c:valAx>
        <c:axId val="7559495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559313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4FBE-4D8F-BB6B-E1A103FA43AC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4FBE-4D8F-BB6B-E1A103FA43A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IATA!$B$15:$B$16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IATA!$C$15:$C$16</c:f>
              <c:numCache>
                <c:formatCode>#,##0</c:formatCode>
                <c:ptCount val="2"/>
                <c:pt idx="0">
                  <c:v>57643.672518989821</c:v>
                </c:pt>
                <c:pt idx="1">
                  <c:v>50384.798420669998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FBE-4D8F-BB6B-E1A103FA4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08832"/>
        <c:axId val="130410368"/>
      </c:barChart>
      <c:catAx>
        <c:axId val="130408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10368"/>
        <c:crosses val="autoZero"/>
        <c:auto val="1"/>
        <c:lblAlgn val="ctr"/>
        <c:lblOffset val="100"/>
        <c:noMultiLvlLbl val="0"/>
      </c:catAx>
      <c:valAx>
        <c:axId val="1304103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408832"/>
        <c:crosses val="autoZero"/>
        <c:crossBetween val="between"/>
      </c:valAx>
    </c:plotArea>
    <c:plotVisOnly val="1"/>
    <c:dispBlanksAs val="gap"/>
    <c:showDLblsOverMax val="0"/>
  </c:chart>
  <c:spPr>
    <a:ln>
      <a:noFill/>
    </a:ln>
    <a:scene3d>
      <a:camera prst="orthographicFront"/>
      <a:lightRig rig="threePt" dir="t"/>
    </a:scene3d>
    <a:sp3d/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45A5-41CF-BE54-70C82FB0BFD9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45A5-41CF-BE54-70C82FB0BFD9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45A5-41CF-BE54-70C82FB0BFD9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OW'!$P$5:$P$7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'PAX OW'!$R$5:$R$7</c:f>
              <c:numCache>
                <c:formatCode>#,##0</c:formatCode>
                <c:ptCount val="3"/>
                <c:pt idx="0">
                  <c:v>215721</c:v>
                </c:pt>
                <c:pt idx="1">
                  <c:v>197276</c:v>
                </c:pt>
                <c:pt idx="2">
                  <c:v>172810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5A5-41CF-BE54-70C82FB0BF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584512"/>
        <c:axId val="129590400"/>
      </c:barChart>
      <c:catAx>
        <c:axId val="129584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590400"/>
        <c:crosses val="autoZero"/>
        <c:auto val="1"/>
        <c:lblAlgn val="ctr"/>
        <c:lblOffset val="100"/>
        <c:noMultiLvlLbl val="0"/>
      </c:catAx>
      <c:valAx>
        <c:axId val="12959040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584512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099F-412B-B80F-C29C71E4A9A5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099F-412B-B80F-C29C71E4A9A5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099F-412B-B80F-C29C71E4A9A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IATA!$B$24:$B$26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IATA!$C$24:$C$26</c:f>
              <c:numCache>
                <c:formatCode>0.0%</c:formatCode>
                <c:ptCount val="3"/>
                <c:pt idx="0">
                  <c:v>0.14406873354368566</c:v>
                </c:pt>
                <c:pt idx="1">
                  <c:v>4.3999999999999997E-2</c:v>
                </c:pt>
                <c:pt idx="2">
                  <c:v>4.8000000000000001E-2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99F-412B-B80F-C29C71E4A9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605824"/>
        <c:axId val="130607360"/>
      </c:barChart>
      <c:catAx>
        <c:axId val="130605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0607360"/>
        <c:crosses val="autoZero"/>
        <c:auto val="1"/>
        <c:lblAlgn val="ctr"/>
        <c:lblOffset val="100"/>
        <c:noMultiLvlLbl val="0"/>
      </c:catAx>
      <c:valAx>
        <c:axId val="130607360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6058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5A27-4E32-A3F8-9699AF20406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5A27-4E32-A3F8-9699AF20406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IATA!$B$13:$B$14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IATA!$C$13:$C$14</c:f>
              <c:numCache>
                <c:formatCode>#,##0</c:formatCode>
                <c:ptCount val="2"/>
                <c:pt idx="0">
                  <c:v>31963.743085899892</c:v>
                </c:pt>
                <c:pt idx="1">
                  <c:v>28051.510868509955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27-4E32-A3F8-9699AF2040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77984"/>
        <c:axId val="130387968"/>
      </c:barChart>
      <c:catAx>
        <c:axId val="130377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387968"/>
        <c:crosses val="autoZero"/>
        <c:auto val="1"/>
        <c:lblAlgn val="ctr"/>
        <c:lblOffset val="100"/>
        <c:noMultiLvlLbl val="0"/>
      </c:catAx>
      <c:valAx>
        <c:axId val="1303879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3779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6944-4CEC-98DB-2AA7A43D8B8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6944-4CEC-98DB-2AA7A43D8B8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IATA!$B$19:$B$20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IATA!$C$19:$C$20</c:f>
              <c:numCache>
                <c:formatCode>0.0%</c:formatCode>
                <c:ptCount val="2"/>
                <c:pt idx="0">
                  <c:v>0.86794205266654278</c:v>
                </c:pt>
                <c:pt idx="1">
                  <c:v>0.8676307825916818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944-4CEC-98DB-2AA7A43D8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70272"/>
        <c:axId val="130471808"/>
      </c:barChart>
      <c:catAx>
        <c:axId val="130470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71808"/>
        <c:crosses val="autoZero"/>
        <c:auto val="1"/>
        <c:lblAlgn val="ctr"/>
        <c:lblOffset val="100"/>
        <c:noMultiLvlLbl val="0"/>
      </c:catAx>
      <c:valAx>
        <c:axId val="130471808"/>
        <c:scaling>
          <c:orientation val="minMax"/>
          <c:max val="0.87820000000000009"/>
        </c:scaling>
        <c:delete val="0"/>
        <c:axPos val="l"/>
        <c:numFmt formatCode="0.0%" sourceLinked="1"/>
        <c:majorTickMark val="out"/>
        <c:minorTickMark val="none"/>
        <c:tickLblPos val="nextTo"/>
        <c:crossAx val="1304702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645A-4F4D-9B60-8A585ECAC31D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645A-4F4D-9B60-8A585ECAC31D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645A-4F4D-9B60-8A585ECAC31D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IATA!$B$27:$B$29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IATA!$C$27:$C$29</c:f>
              <c:numCache>
                <c:formatCode>0.0%</c:formatCode>
                <c:ptCount val="3"/>
                <c:pt idx="0">
                  <c:v>3.1127007486098091E-4</c:v>
                </c:pt>
                <c:pt idx="1">
                  <c:v>1.0000000000000009E-3</c:v>
                </c:pt>
                <c:pt idx="2">
                  <c:v>2.0000000000000018E-3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5A-4F4D-9B60-8A585ECAC3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645120"/>
        <c:axId val="144663296"/>
      </c:barChart>
      <c:catAx>
        <c:axId val="144645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44663296"/>
        <c:crosses val="autoZero"/>
        <c:auto val="1"/>
        <c:lblAlgn val="ctr"/>
        <c:lblOffset val="100"/>
        <c:noMultiLvlLbl val="0"/>
      </c:catAx>
      <c:valAx>
        <c:axId val="144663296"/>
        <c:scaling>
          <c:orientation val="minMax"/>
          <c:max val="3.0000000000000009E-3"/>
        </c:scaling>
        <c:delete val="0"/>
        <c:axPos val="l"/>
        <c:numFmt formatCode="0.0%" sourceLinked="1"/>
        <c:majorTickMark val="out"/>
        <c:minorTickMark val="none"/>
        <c:tickLblPos val="nextTo"/>
        <c:crossAx val="144645120"/>
        <c:crosses val="autoZero"/>
        <c:crossBetween val="between"/>
        <c:majorUnit val="1.0000000000000002E-3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312082518571965"/>
          <c:y val="7.7345538761633206E-2"/>
          <c:w val="0.762683934738558"/>
          <c:h val="0.74813248828588264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728-4579-BD5C-38AE1FAE1852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728-4579-BD5C-38AE1FAE185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IATA!$B$17:$B$18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IATA!$C$17:$C$18</c:f>
              <c:numCache>
                <c:formatCode>0.0%</c:formatCode>
                <c:ptCount val="2"/>
                <c:pt idx="0">
                  <c:v>0.86985154690424871</c:v>
                </c:pt>
                <c:pt idx="1">
                  <c:v>0.87608350111465727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728-4579-BD5C-38AE1FAE18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35328"/>
        <c:axId val="130445312"/>
      </c:barChart>
      <c:catAx>
        <c:axId val="13043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45312"/>
        <c:crosses val="autoZero"/>
        <c:auto val="1"/>
        <c:lblAlgn val="ctr"/>
        <c:lblOffset val="100"/>
        <c:noMultiLvlLbl val="0"/>
      </c:catAx>
      <c:valAx>
        <c:axId val="130445312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43532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27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104392361111111E-2"/>
          <c:y val="4.0451388888888891E-2"/>
          <c:w val="0.66173350694444433"/>
          <c:h val="0.92427083333333337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</c:spPr>
          <c:explosion val="25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A52C-4DA4-B53E-E90F1B75C603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3-A52C-4DA4-B53E-E90F1B75C603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5-A52C-4DA4-B53E-E90F1B75C603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7-A52C-4DA4-B53E-E90F1B75C603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9-A52C-4DA4-B53E-E90F1B75C603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B-A52C-4DA4-B53E-E90F1B75C603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D-A52C-4DA4-B53E-E90F1B75C603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F-A52C-4DA4-B53E-E90F1B75C603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A52C-4DA4-B53E-E90F1B75C603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A52C-4DA4-B53E-E90F1B75C603}"/>
                </c:ext>
              </c:extLst>
            </c:dLbl>
            <c:dLbl>
              <c:idx val="6"/>
              <c:layout>
                <c:manualLayout>
                  <c:x val="0.11233543723701205"/>
                  <c:y val="-0.103014350328590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52C-4DA4-B53E-E90F1B75C603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F-A52C-4DA4-B53E-E90F1B75C6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PRZEWOZN!$E$9:$E$16</c:f>
              <c:strCache>
                <c:ptCount val="8"/>
                <c:pt idx="0">
                  <c:v>Ryanair</c:v>
                </c:pt>
                <c:pt idx="1">
                  <c:v>Wizz Air</c:v>
                </c:pt>
                <c:pt idx="2">
                  <c:v>Polskie Linie Lotnicze LOT</c:v>
                </c:pt>
                <c:pt idx="3">
                  <c:v>Enter Air</c:v>
                </c:pt>
                <c:pt idx="4">
                  <c:v>Lufthansa</c:v>
                </c:pt>
                <c:pt idx="5">
                  <c:v>KLM Royal Dutch Airlines</c:v>
                </c:pt>
                <c:pt idx="6">
                  <c:v>Buzz</c:v>
                </c:pt>
                <c:pt idx="7">
                  <c:v>Pozostali</c:v>
                </c:pt>
              </c:strCache>
            </c:strRef>
          </c:cat>
          <c:val>
            <c:numRef>
              <c:f>PRZEWOZN!$F$9:$F$16</c:f>
              <c:numCache>
                <c:formatCode>0.00%</c:formatCode>
                <c:ptCount val="8"/>
                <c:pt idx="0">
                  <c:v>0.31955065057322607</c:v>
                </c:pt>
                <c:pt idx="1">
                  <c:v>0.21955997428843368</c:v>
                </c:pt>
                <c:pt idx="2">
                  <c:v>0.16421680416732518</c:v>
                </c:pt>
                <c:pt idx="3">
                  <c:v>5.4973833692459097E-2</c:v>
                </c:pt>
                <c:pt idx="4">
                  <c:v>3.4714941981420736E-2</c:v>
                </c:pt>
                <c:pt idx="5">
                  <c:v>1.9593213494087488E-2</c:v>
                </c:pt>
                <c:pt idx="6">
                  <c:v>1.6546679714860974E-2</c:v>
                </c:pt>
                <c:pt idx="7">
                  <c:v>0.17084390208818667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A52C-4DA4-B53E-E90F1B75C6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sz="1200" b="0"/>
      </a:pPr>
      <a:endParaRPr lang="pl-PL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502861111111111"/>
          <c:y val="4.6627645502645504E-2"/>
          <c:w val="0.58601305555555561"/>
          <c:h val="0.84816203703703708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PRZEWOZN!$F$34</c:f>
              <c:strCache>
                <c:ptCount val="1"/>
                <c:pt idx="0">
                  <c:v>Sieciowi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PRZEWOZN!$F$35:$F$37</c:f>
              <c:numCache>
                <c:formatCode>0.0%</c:formatCode>
                <c:ptCount val="3"/>
                <c:pt idx="0">
                  <c:v>0.30322763988371354</c:v>
                </c:pt>
                <c:pt idx="1">
                  <c:v>0.30360400415334038</c:v>
                </c:pt>
                <c:pt idx="2">
                  <c:v>0.30100460717138605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A6-434C-8924-E94FCB2B0BAD}"/>
            </c:ext>
          </c:extLst>
        </c:ser>
        <c:ser>
          <c:idx val="1"/>
          <c:order val="1"/>
          <c:tx>
            <c:strRef>
              <c:f>PRZEWOZN!$G$34</c:f>
              <c:strCache>
                <c:ptCount val="1"/>
                <c:pt idx="0">
                  <c:v>Niskokosztowi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PRZEWOZN!$G$35:$G$37</c:f>
              <c:numCache>
                <c:formatCode>0.0%</c:formatCode>
                <c:ptCount val="3"/>
                <c:pt idx="0">
                  <c:v>0.58730192961564232</c:v>
                </c:pt>
                <c:pt idx="1">
                  <c:v>0.58845055533660295</c:v>
                </c:pt>
                <c:pt idx="2">
                  <c:v>0.5982456958249377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A6-434C-8924-E94FCB2B0BAD}"/>
            </c:ext>
          </c:extLst>
        </c:ser>
        <c:ser>
          <c:idx val="2"/>
          <c:order val="2"/>
          <c:tx>
            <c:strRef>
              <c:f>PRZEWOZN!$H$34</c:f>
              <c:strCache>
                <c:ptCount val="1"/>
                <c:pt idx="0">
                  <c:v>Czarterowi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PRZEWOZN!$H$35:$H$37</c:f>
              <c:numCache>
                <c:formatCode>0.0%</c:formatCode>
                <c:ptCount val="3"/>
                <c:pt idx="0">
                  <c:v>0.10947043050064417</c:v>
                </c:pt>
                <c:pt idx="1">
                  <c:v>0.10794544051005664</c:v>
                </c:pt>
                <c:pt idx="2">
                  <c:v>0.10074969700367627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A6-434C-8924-E94FCB2B0B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4705920"/>
        <c:axId val="134707456"/>
      </c:barChart>
      <c:catAx>
        <c:axId val="134705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707456"/>
        <c:crosses val="autoZero"/>
        <c:auto val="1"/>
        <c:lblAlgn val="ctr"/>
        <c:lblOffset val="100"/>
        <c:noMultiLvlLbl val="0"/>
      </c:catAx>
      <c:valAx>
        <c:axId val="134707456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134705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CE51-4C8F-871F-47E4B53C03A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CE51-4C8F-871F-47E4B53C03AC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51-4C8F-871F-47E4B53C03AC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E51-4C8F-871F-47E4B53C03AC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'LCC vs NET'!$D$16:$D$17</c:f>
              <c:strCache>
                <c:ptCount val="2"/>
                <c:pt idx="0">
                  <c:v>Sieciowi</c:v>
                </c:pt>
                <c:pt idx="1">
                  <c:v>Niskokosztowi</c:v>
                </c:pt>
              </c:strCache>
            </c:strRef>
          </c:cat>
          <c:val>
            <c:numRef>
              <c:f>'LCC vs NET'!$E$16:$E$17</c:f>
              <c:numCache>
                <c:formatCode>0.00%</c:formatCode>
                <c:ptCount val="2"/>
                <c:pt idx="0">
                  <c:v>0.12273404905871343</c:v>
                </c:pt>
                <c:pt idx="1">
                  <c:v>0.12193333943211249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E51-4C8F-871F-47E4B53C0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626112"/>
        <c:axId val="135939200"/>
      </c:barChart>
      <c:catAx>
        <c:axId val="135626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5939200"/>
        <c:crosses val="autoZero"/>
        <c:auto val="1"/>
        <c:lblAlgn val="ctr"/>
        <c:lblOffset val="100"/>
        <c:noMultiLvlLbl val="0"/>
      </c:catAx>
      <c:valAx>
        <c:axId val="135939200"/>
        <c:scaling>
          <c:orientation val="minMax"/>
        </c:scaling>
        <c:delete val="0"/>
        <c:axPos val="l"/>
        <c:numFmt formatCode="0.00%" sourceLinked="0"/>
        <c:majorTickMark val="out"/>
        <c:minorTickMark val="none"/>
        <c:tickLblPos val="nextTo"/>
        <c:crossAx val="13562611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6BF-468B-A28D-245A973CDD44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2-06BF-468B-A28D-245A973CDD4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'LCC vs NET'!$J$13:$J$14</c:f>
              <c:strCache>
                <c:ptCount val="2"/>
                <c:pt idx="0">
                  <c:v>Sieciowi</c:v>
                </c:pt>
                <c:pt idx="1">
                  <c:v>Niskokosztowi</c:v>
                </c:pt>
              </c:strCache>
            </c:strRef>
          </c:cat>
          <c:val>
            <c:numRef>
              <c:f>'LCC vs NET'!$K$13:$K$14</c:f>
              <c:numCache>
                <c:formatCode>0.00%</c:formatCode>
                <c:ptCount val="2"/>
                <c:pt idx="0">
                  <c:v>-1.1987161536453739E-2</c:v>
                </c:pt>
                <c:pt idx="1">
                  <c:v>9.2233153469173379E-3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6BF-468B-A28D-245A973CDD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955968"/>
        <c:axId val="135957504"/>
      </c:barChart>
      <c:catAx>
        <c:axId val="135955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5957504"/>
        <c:crosses val="autoZero"/>
        <c:auto val="1"/>
        <c:lblAlgn val="ctr"/>
        <c:lblOffset val="100"/>
        <c:noMultiLvlLbl val="0"/>
      </c:catAx>
      <c:valAx>
        <c:axId val="135957504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crossAx val="1359559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0B8F-4C6F-AA7A-B3C0B972AB5D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0B8F-4C6F-AA7A-B3C0B972AB5D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0B8F-4C6F-AA7A-B3C0B972AB5D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OW'!$P$5:$P$7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'PAX OW'!$Q$5:$Q$7</c:f>
              <c:numCache>
                <c:formatCode>#,##0</c:formatCode>
                <c:ptCount val="3"/>
                <c:pt idx="0">
                  <c:v>123790</c:v>
                </c:pt>
                <c:pt idx="1">
                  <c:v>112301</c:v>
                </c:pt>
                <c:pt idx="2">
                  <c:v>99407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8F-4C6F-AA7A-B3C0B972AB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574016"/>
        <c:axId val="129575552"/>
      </c:barChart>
      <c:catAx>
        <c:axId val="129574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575552"/>
        <c:crosses val="autoZero"/>
        <c:auto val="1"/>
        <c:lblAlgn val="ctr"/>
        <c:lblOffset val="100"/>
        <c:noMultiLvlLbl val="0"/>
      </c:catAx>
      <c:valAx>
        <c:axId val="129575552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574016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966819864705099"/>
          <c:y val="3.9755555555555558E-2"/>
          <c:w val="0.80862239500478528"/>
          <c:h val="0.77698034188034193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21CE-4E58-8EEF-6402A0CB2A0C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21CE-4E58-8EEF-6402A0CB2A0C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21CE-4E58-8EEF-6402A0CB2A0C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CARGO_zmiana_KRK!$AK$5:$AK$7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CARGO_zmiana_KRK!$AM$5:$AM$7</c:f>
              <c:numCache>
                <c:formatCode>#,##0</c:formatCode>
                <c:ptCount val="3"/>
                <c:pt idx="0">
                  <c:v>102318.65575000001</c:v>
                </c:pt>
                <c:pt idx="1">
                  <c:v>95472.053328000009</c:v>
                </c:pt>
                <c:pt idx="2">
                  <c:v>98057.19084000001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1CE-4E58-8EEF-6402A0CB2A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984384"/>
        <c:axId val="129985920"/>
      </c:barChart>
      <c:catAx>
        <c:axId val="129984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985920"/>
        <c:crosses val="autoZero"/>
        <c:auto val="1"/>
        <c:lblAlgn val="ctr"/>
        <c:lblOffset val="100"/>
        <c:noMultiLvlLbl val="0"/>
      </c:catAx>
      <c:valAx>
        <c:axId val="1299859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984384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FC0-47F2-A302-F0E3BC10B08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FC0-47F2-A302-F0E3BC10B08A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FFC0-47F2-A302-F0E3BC10B08A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CARGO_zmiana_KRK!$AK$5:$AK$7</c:f>
              <c:numCache>
                <c:formatCode>General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CARGO_zmiana_KRK!$AL$5:$AL$7</c:f>
              <c:numCache>
                <c:formatCode>#,##0</c:formatCode>
                <c:ptCount val="3"/>
                <c:pt idx="0">
                  <c:v>50871.177360000001</c:v>
                </c:pt>
                <c:pt idx="1">
                  <c:v>48028.340648000005</c:v>
                </c:pt>
                <c:pt idx="2">
                  <c:v>52687.702990000005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FC0-47F2-A302-F0E3BC10B0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686528"/>
        <c:axId val="129688320"/>
      </c:barChart>
      <c:catAx>
        <c:axId val="129686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688320"/>
        <c:crosses val="autoZero"/>
        <c:auto val="1"/>
        <c:lblAlgn val="ctr"/>
        <c:lblOffset val="100"/>
        <c:noMultiLvlLbl val="0"/>
      </c:catAx>
      <c:valAx>
        <c:axId val="1296883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686528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9598156486902427"/>
          <c:y val="0.10478590310861052"/>
          <c:w val="0.65851688394173069"/>
          <c:h val="0.81369682918899056"/>
        </c:manualLayout>
      </c:layout>
      <c:barChart>
        <c:barDir val="bar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6DD-45D7-9A3E-D009143E7135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6DD-45D7-9A3E-D009143E713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'PAX PAX'!$Q$12:$Q$13</c:f>
              <c:strCache>
                <c:ptCount val="2"/>
                <c:pt idx="0">
                  <c:v>Narastająco</c:v>
                </c:pt>
                <c:pt idx="1">
                  <c:v>II-kwartał</c:v>
                </c:pt>
              </c:strCache>
            </c:strRef>
          </c:cat>
          <c:val>
            <c:numRef>
              <c:f>'PAX PAX'!$R$12:$R$13</c:f>
              <c:numCache>
                <c:formatCode>0.0%</c:formatCode>
                <c:ptCount val="2"/>
                <c:pt idx="0">
                  <c:v>0.11838049667932204</c:v>
                </c:pt>
                <c:pt idx="1">
                  <c:v>0.11860269002003498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6DD-45D7-9A3E-D009143E71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077504"/>
        <c:axId val="735079040"/>
      </c:barChart>
      <c:catAx>
        <c:axId val="73507750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low"/>
        <c:spPr>
          <a:ln/>
        </c:spPr>
        <c:crossAx val="735079040"/>
        <c:crosses val="autoZero"/>
        <c:auto val="1"/>
        <c:lblAlgn val="ctr"/>
        <c:lblOffset val="100"/>
        <c:noMultiLvlLbl val="0"/>
      </c:catAx>
      <c:valAx>
        <c:axId val="735079040"/>
        <c:scaling>
          <c:orientation val="minMax"/>
        </c:scaling>
        <c:delete val="0"/>
        <c:axPos val="t"/>
        <c:numFmt formatCode="0.0%" sourceLinked="1"/>
        <c:majorTickMark val="none"/>
        <c:minorTickMark val="none"/>
        <c:tickLblPos val="none"/>
        <c:crossAx val="735077504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67E7-431A-A4AF-72145FEDBB12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67E7-431A-A4AF-72145FEDBB12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67E7-431A-A4AF-72145FEDBB12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pl-PL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67E7-431A-A4AF-72145FEDBB12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'PAX PAX'!$Q$16:$Q$17</c:f>
              <c:strCache>
                <c:ptCount val="2"/>
                <c:pt idx="0">
                  <c:v>Narastająco</c:v>
                </c:pt>
                <c:pt idx="1">
                  <c:v>II-kwartał</c:v>
                </c:pt>
              </c:strCache>
            </c:strRef>
          </c:cat>
          <c:val>
            <c:numRef>
              <c:f>'PAX PAX'!$R$16:$R$17</c:f>
              <c:numCache>
                <c:formatCode>0.0%</c:formatCode>
                <c:ptCount val="2"/>
                <c:pt idx="0">
                  <c:v>0.28005891450274034</c:v>
                </c:pt>
                <c:pt idx="1">
                  <c:v>0.26269308613368714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7E7-431A-A4AF-72145FEDBB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69824"/>
        <c:axId val="107475712"/>
      </c:barChart>
      <c:catAx>
        <c:axId val="10746982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low"/>
        <c:crossAx val="107475712"/>
        <c:crosses val="autoZero"/>
        <c:auto val="1"/>
        <c:lblAlgn val="ctr"/>
        <c:lblOffset val="100"/>
        <c:noMultiLvlLbl val="0"/>
      </c:catAx>
      <c:valAx>
        <c:axId val="107475712"/>
        <c:scaling>
          <c:orientation val="minMax"/>
        </c:scaling>
        <c:delete val="0"/>
        <c:axPos val="t"/>
        <c:numFmt formatCode="0.0%" sourceLinked="1"/>
        <c:majorTickMark val="none"/>
        <c:minorTickMark val="none"/>
        <c:tickLblPos val="none"/>
        <c:crossAx val="1074698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'PAX PAX'!$A$46</c:f>
              <c:strCache>
                <c:ptCount val="1"/>
                <c:pt idx="0">
                  <c:v>2025</c:v>
                </c:pt>
              </c:strCache>
            </c:strRef>
          </c:tx>
          <c:spPr>
            <a:ln w="50800" cap="sq">
              <a:solidFill>
                <a:srgbClr val="283772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PAX'!$B$46:$M$46</c:f>
              <c:numCache>
                <c:formatCode>#,##0</c:formatCode>
                <c:ptCount val="12"/>
                <c:pt idx="0">
                  <c:v>3884873</c:v>
                </c:pt>
                <c:pt idx="1">
                  <c:v>3991782</c:v>
                </c:pt>
                <c:pt idx="2">
                  <c:v>4413608</c:v>
                </c:pt>
                <c:pt idx="3">
                  <c:v>5027008</c:v>
                </c:pt>
                <c:pt idx="4">
                  <c:v>5895695</c:v>
                </c:pt>
                <c:pt idx="5">
                  <c:v>6528367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364-4026-8C2D-E273D4493587}"/>
            </c:ext>
          </c:extLst>
        </c:ser>
        <c:ser>
          <c:idx val="1"/>
          <c:order val="1"/>
          <c:tx>
            <c:strRef>
              <c:f>'PAX PAX'!$A$47</c:f>
              <c:strCache>
                <c:ptCount val="1"/>
                <c:pt idx="0">
                  <c:v>2024</c:v>
                </c:pt>
              </c:strCache>
            </c:strRef>
          </c:tx>
          <c:spPr>
            <a:ln w="50800" cap="sq">
              <a:solidFill>
                <a:srgbClr val="C00000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PAX'!$B$47:$M$47</c:f>
              <c:numCache>
                <c:formatCode>#,##0</c:formatCode>
                <c:ptCount val="12"/>
                <c:pt idx="0">
                  <c:v>3547461</c:v>
                </c:pt>
                <c:pt idx="1">
                  <c:v>3515905</c:v>
                </c:pt>
                <c:pt idx="2">
                  <c:v>3929073</c:v>
                </c:pt>
                <c:pt idx="3">
                  <c:v>4387664</c:v>
                </c:pt>
                <c:pt idx="4">
                  <c:v>5297664</c:v>
                </c:pt>
                <c:pt idx="5">
                  <c:v>5915448</c:v>
                </c:pt>
                <c:pt idx="6">
                  <c:v>6449013</c:v>
                </c:pt>
                <c:pt idx="7">
                  <c:v>6544767</c:v>
                </c:pt>
                <c:pt idx="8">
                  <c:v>6099322</c:v>
                </c:pt>
                <c:pt idx="9">
                  <c:v>5329993</c:v>
                </c:pt>
                <c:pt idx="10">
                  <c:v>4053695</c:v>
                </c:pt>
                <c:pt idx="11">
                  <c:v>4120263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364-4026-8C2D-E273D4493587}"/>
            </c:ext>
          </c:extLst>
        </c:ser>
        <c:ser>
          <c:idx val="2"/>
          <c:order val="2"/>
          <c:tx>
            <c:strRef>
              <c:f>'PAX PAX'!$A$48</c:f>
              <c:strCache>
                <c:ptCount val="1"/>
                <c:pt idx="0">
                  <c:v>2023</c:v>
                </c:pt>
              </c:strCache>
            </c:strRef>
          </c:tx>
          <c:spPr>
            <a:ln w="50800" cap="sq">
              <a:solidFill>
                <a:srgbClr val="FFC000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PAX'!$B$48:$M$48</c:f>
              <c:numCache>
                <c:formatCode>#,##0</c:formatCode>
                <c:ptCount val="12"/>
                <c:pt idx="0">
                  <c:v>3074831</c:v>
                </c:pt>
                <c:pt idx="1">
                  <c:v>2953532</c:v>
                </c:pt>
                <c:pt idx="2">
                  <c:v>3385468</c:v>
                </c:pt>
                <c:pt idx="3">
                  <c:v>3955818</c:v>
                </c:pt>
                <c:pt idx="4">
                  <c:v>4567802</c:v>
                </c:pt>
                <c:pt idx="5">
                  <c:v>5296896</c:v>
                </c:pt>
                <c:pt idx="6">
                  <c:v>5762824</c:v>
                </c:pt>
                <c:pt idx="7">
                  <c:v>5772432</c:v>
                </c:pt>
                <c:pt idx="8">
                  <c:v>5430970</c:v>
                </c:pt>
                <c:pt idx="9">
                  <c:v>4723881</c:v>
                </c:pt>
                <c:pt idx="10">
                  <c:v>3603606</c:v>
                </c:pt>
                <c:pt idx="11">
                  <c:v>3695745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364-4026-8C2D-E273D44935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32870912"/>
        <c:axId val="734298112"/>
      </c:lineChart>
      <c:catAx>
        <c:axId val="732870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4298112"/>
        <c:crosses val="autoZero"/>
        <c:auto val="1"/>
        <c:lblAlgn val="ctr"/>
        <c:lblOffset val="100"/>
        <c:noMultiLvlLbl val="0"/>
      </c:catAx>
      <c:valAx>
        <c:axId val="73429811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#,##0" sourceLinked="1"/>
        <c:majorTickMark val="out"/>
        <c:minorTickMark val="none"/>
        <c:tickLblPos val="nextTo"/>
        <c:crossAx val="732870912"/>
        <c:crosses val="autoZero"/>
        <c:crossBetween val="between"/>
        <c:dispUnits>
          <c:builtInUnit val="millions"/>
          <c:dispUnitsLbl/>
        </c:dispUnits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46F8-46D0-448E-9C6D-EE986C8C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9146</Words>
  <Characters>54879</Characters>
  <Application>Microsoft Office Word</Application>
  <DocSecurity>8</DocSecurity>
  <Lines>457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2026-01-20T10:55:00Z</dcterms:created>
  <dcterms:modified xsi:type="dcterms:W3CDTF">2026-01-21T06:55:00Z</dcterms:modified>
</cp:coreProperties>
</file>