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2CA7E" w14:textId="763FCAC8" w:rsidR="00922FAB" w:rsidRPr="007D383E" w:rsidRDefault="00947F04" w:rsidP="00EE711A">
      <w:pPr>
        <w:pStyle w:val="Tytu"/>
        <w:spacing w:before="4800" w:after="5160"/>
        <w:rPr>
          <w:szCs w:val="52"/>
        </w:rPr>
      </w:pPr>
      <w:r w:rsidRPr="007D383E">
        <w:rPr>
          <w:szCs w:val="52"/>
        </w:rPr>
        <w:t>Analiza przewozó</w:t>
      </w:r>
      <w:r w:rsidR="00EF5117">
        <w:rPr>
          <w:szCs w:val="52"/>
        </w:rPr>
        <w:t xml:space="preserve">w </w:t>
      </w:r>
      <w:r w:rsidR="00EF5117">
        <w:rPr>
          <w:szCs w:val="52"/>
        </w:rPr>
        <w:br/>
        <w:t xml:space="preserve">w polskich portach lotniczych </w:t>
      </w:r>
      <w:r w:rsidRPr="007D383E">
        <w:rPr>
          <w:szCs w:val="52"/>
        </w:rPr>
        <w:br/>
        <w:t>w</w:t>
      </w:r>
      <w:r w:rsidR="007A7454" w:rsidRPr="007D383E">
        <w:rPr>
          <w:szCs w:val="52"/>
        </w:rPr>
        <w:t xml:space="preserve"> </w:t>
      </w:r>
      <w:r w:rsidR="00F23136">
        <w:rPr>
          <w:szCs w:val="52"/>
        </w:rPr>
        <w:t xml:space="preserve">pierwszym kwartale </w:t>
      </w:r>
      <w:r w:rsidR="007A7454" w:rsidRPr="007D383E">
        <w:rPr>
          <w:szCs w:val="52"/>
        </w:rPr>
        <w:t>202</w:t>
      </w:r>
      <w:r w:rsidR="00F23136">
        <w:rPr>
          <w:szCs w:val="52"/>
        </w:rPr>
        <w:t>5</w:t>
      </w:r>
      <w:r w:rsidRPr="007D383E">
        <w:rPr>
          <w:szCs w:val="52"/>
        </w:rPr>
        <w:t xml:space="preserve"> roku</w:t>
      </w:r>
    </w:p>
    <w:p w14:paraId="55FF2734" w14:textId="77777777" w:rsidR="005B61EB" w:rsidRPr="007D383E" w:rsidRDefault="005B61EB" w:rsidP="005B61EB"/>
    <w:p w14:paraId="388FD127" w14:textId="77777777" w:rsidR="00527143" w:rsidRPr="007D383E" w:rsidRDefault="00527143" w:rsidP="00EF21A5">
      <w:pPr>
        <w:pStyle w:val="Podtytu"/>
      </w:pPr>
      <w:r w:rsidRPr="007D383E">
        <w:t>Opracowanie:</w:t>
      </w:r>
      <w:bookmarkStart w:id="0" w:name="_GoBack"/>
      <w:bookmarkEnd w:id="0"/>
      <w:r w:rsidRPr="007D383E">
        <w:t xml:space="preserve"> Departament Rynku Transportu Lotniczego</w:t>
      </w:r>
    </w:p>
    <w:p w14:paraId="0057A827" w14:textId="6D400B2F" w:rsidR="0006530F" w:rsidRPr="007D383E" w:rsidRDefault="00527143" w:rsidP="00EF21A5">
      <w:pPr>
        <w:pStyle w:val="Podtytu"/>
        <w:rPr>
          <w:sz w:val="32"/>
        </w:rPr>
      </w:pPr>
      <w:r w:rsidRPr="007D383E">
        <w:t xml:space="preserve">Warszawa, </w:t>
      </w:r>
      <w:r w:rsidR="00F23136">
        <w:t>czerwiec</w:t>
      </w:r>
      <w:r w:rsidR="00C423B7" w:rsidRPr="007D383E">
        <w:t xml:space="preserve"> 202</w:t>
      </w:r>
      <w:r w:rsidR="00DE3B0C" w:rsidRPr="007D383E">
        <w:t>5</w:t>
      </w:r>
      <w:r w:rsidRPr="007D383E">
        <w:t xml:space="preserve"> r.</w:t>
      </w:r>
      <w:r w:rsidR="0006530F" w:rsidRPr="007D383E">
        <w:rPr>
          <w:sz w:val="32"/>
        </w:rPr>
        <w:br w:type="page"/>
      </w:r>
    </w:p>
    <w:bookmarkStart w:id="1" w:name="_Toc153874654" w:displacedByCustomXml="next"/>
    <w:bookmarkStart w:id="2" w:name="_Toc200533886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3DDA919F" w14:textId="77777777" w:rsidR="00EF21A5" w:rsidRPr="007D383E" w:rsidRDefault="00EF21A5" w:rsidP="005A6434">
          <w:pPr>
            <w:pStyle w:val="Nagwek1"/>
            <w:numPr>
              <w:ilvl w:val="0"/>
              <w:numId w:val="0"/>
            </w:numPr>
            <w:ind w:left="720" w:hanging="360"/>
          </w:pPr>
          <w:r w:rsidRPr="007D383E">
            <w:t>SPIS TREŚCI</w:t>
          </w:r>
          <w:bookmarkEnd w:id="2"/>
          <w:bookmarkEnd w:id="1"/>
        </w:p>
        <w:p w14:paraId="619DDF6C" w14:textId="0BE13A68" w:rsidR="00B035D6" w:rsidRDefault="00EF21A5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7D383E">
            <w:rPr>
              <w:rFonts w:cstheme="minorHAnsi"/>
              <w:szCs w:val="24"/>
            </w:rPr>
            <w:fldChar w:fldCharType="begin"/>
          </w:r>
          <w:r w:rsidRPr="007D383E">
            <w:rPr>
              <w:rFonts w:cstheme="minorHAnsi"/>
              <w:szCs w:val="24"/>
            </w:rPr>
            <w:instrText xml:space="preserve"> TOC \o "1-3" \h \z \u </w:instrText>
          </w:r>
          <w:r w:rsidRPr="007D383E">
            <w:rPr>
              <w:rFonts w:cstheme="minorHAnsi"/>
              <w:szCs w:val="24"/>
            </w:rPr>
            <w:fldChar w:fldCharType="separate"/>
          </w:r>
          <w:hyperlink w:anchor="_Toc200533886" w:history="1">
            <w:r w:rsidR="00B035D6" w:rsidRPr="00012012">
              <w:rPr>
                <w:rStyle w:val="Hipercze"/>
                <w:noProof/>
              </w:rPr>
              <w:t>SPIS TREŚCI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_Toc200533886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009117EB" w14:textId="34B00994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887" w:history="1">
            <w:r w:rsidR="00B035D6" w:rsidRPr="00012012">
              <w:rPr>
                <w:rStyle w:val="Hipercze"/>
                <w:noProof/>
              </w:rPr>
              <w:t>1.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Słowniczek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_Toc200533887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3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594F3224" w14:textId="1CD2FFE5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888" w:history="1">
            <w:r w:rsidR="00B035D6" w:rsidRPr="00012012">
              <w:rPr>
                <w:rStyle w:val="Hipercze"/>
                <w:noProof/>
              </w:rPr>
              <w:t>2.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Podsumowanie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_Toc200533888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4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4E436984" w14:textId="56C503BB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889" w:history="1">
            <w:r w:rsidR="00B035D6" w:rsidRPr="00012012">
              <w:rPr>
                <w:rStyle w:val="Hipercze"/>
                <w:noProof/>
              </w:rPr>
              <w:t>3.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Przewozy pasażerskie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_Toc200533889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6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0B33DB7A" w14:textId="33B03C45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890" w:history="1">
            <w:r w:rsidR="00B035D6" w:rsidRPr="00012012">
              <w:rPr>
                <w:rStyle w:val="Hipercze"/>
                <w:noProof/>
              </w:rPr>
              <w:t>4.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Operacje lotnicze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_Toc200533890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7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5F7787B9" w14:textId="45A3B195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891" w:history="1">
            <w:r w:rsidR="00B035D6" w:rsidRPr="00012012">
              <w:rPr>
                <w:rStyle w:val="Hipercze"/>
                <w:noProof/>
              </w:rPr>
              <w:t>5.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Przewozy cargo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_Toc200533891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8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079EAB16" w14:textId="2A29E15A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892" w:history="1">
            <w:r w:rsidR="00B035D6" w:rsidRPr="00012012">
              <w:rPr>
                <w:rStyle w:val="Hipercze"/>
                <w:noProof/>
              </w:rPr>
              <w:t>6.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Sezonowe zmiany przewozów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_Toc200533892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9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6D162D87" w14:textId="038DEA38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893" w:history="1">
            <w:r w:rsidR="00B035D6" w:rsidRPr="00012012">
              <w:rPr>
                <w:rStyle w:val="Hipercze"/>
                <w:noProof/>
              </w:rPr>
              <w:t>7.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Wyniki portów lotniczych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_Toc200533893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11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06DD7946" w14:textId="4DFAB8B3" w:rsidR="00B035D6" w:rsidRDefault="003D1A14" w:rsidP="00B035D6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00533894" w:history="1">
            <w:r w:rsidR="00B035D6" w:rsidRPr="00012012">
              <w:rPr>
                <w:rStyle w:val="Hipercze"/>
                <w:noProof/>
              </w:rPr>
              <w:t>10.1.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Cały rynek – porównanie z ACI Europe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_Toc200533894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11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79823530" w14:textId="43DDDB43" w:rsidR="00B035D6" w:rsidRDefault="003D1A14" w:rsidP="00B035D6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00533895" w:history="1">
            <w:r w:rsidR="00B035D6" w:rsidRPr="00012012">
              <w:rPr>
                <w:rStyle w:val="Hipercze"/>
                <w:noProof/>
              </w:rPr>
              <w:t>10.2.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Porty lotnicze obsługujące 10-25 mln pasażerów rocznie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_Toc200533895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11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133F6C93" w14:textId="1C014F1D" w:rsidR="00B035D6" w:rsidRDefault="003D1A14" w:rsidP="00B035D6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00533896" w:history="1">
            <w:r w:rsidR="00B035D6" w:rsidRPr="00012012">
              <w:rPr>
                <w:rStyle w:val="Hipercze"/>
                <w:noProof/>
              </w:rPr>
              <w:t>10.3.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Porty lotnicze obsługujące 1-10 mln pasażerów rocznie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_Toc200533896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13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0334F9E1" w14:textId="400E01E5" w:rsidR="00B035D6" w:rsidRDefault="003D1A14" w:rsidP="00B035D6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00533897" w:history="1">
            <w:r w:rsidR="00B035D6" w:rsidRPr="00012012">
              <w:rPr>
                <w:rStyle w:val="Hipercze"/>
                <w:noProof/>
              </w:rPr>
              <w:t>10.4.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Porty lotnicze obsługujące mniej niż 1 mln pasażerów rocznie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_Toc200533897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14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2262E23D" w14:textId="4C119CE4" w:rsidR="00B035D6" w:rsidRDefault="003D1A14" w:rsidP="00B035D6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200533898" w:history="1">
            <w:r w:rsidR="00B035D6" w:rsidRPr="00012012">
              <w:rPr>
                <w:rStyle w:val="Hipercze"/>
                <w:noProof/>
              </w:rPr>
              <w:t>10.5.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Wyniki portów lotniczych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_Toc200533898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14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468E0C2A" w14:textId="107AF54A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899" w:history="1">
            <w:r w:rsidR="00B035D6" w:rsidRPr="00012012">
              <w:rPr>
                <w:rStyle w:val="Hipercze"/>
                <w:noProof/>
              </w:rPr>
              <w:t>8.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Przewozy międzynarodowe – porównanie ACI EUROPE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_Toc200533899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16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5275751C" w14:textId="0A7FB6C3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0" w:history="1">
            <w:r w:rsidR="00B035D6" w:rsidRPr="00012012">
              <w:rPr>
                <w:rStyle w:val="Hipercze"/>
                <w:noProof/>
              </w:rPr>
              <w:t>9.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Przewozy krajowe – porównanie z ACI EUROPE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_Toc200533900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17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7F1A8271" w14:textId="26572D9B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1" w:history="1">
            <w:r w:rsidR="00B035D6" w:rsidRPr="00012012">
              <w:rPr>
                <w:rStyle w:val="Hipercze"/>
                <w:noProof/>
              </w:rPr>
              <w:t>10.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Przewozy regularne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_Toc200533901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18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370B2FFF" w14:textId="6502435B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2" w:history="1">
            <w:r w:rsidR="00B035D6" w:rsidRPr="00012012">
              <w:rPr>
                <w:rStyle w:val="Hipercze"/>
                <w:noProof/>
              </w:rPr>
              <w:t>11.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Przewozy czarterowe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_Toc200533902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19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433D28B9" w14:textId="2C417123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3" w:history="1">
            <w:r w:rsidR="00B035D6" w:rsidRPr="00012012">
              <w:rPr>
                <w:rStyle w:val="Hipercze"/>
                <w:noProof/>
              </w:rPr>
              <w:t>12.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Porównanie z danymi IATA – RPKM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_Toc200533903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21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1C5007F1" w14:textId="285A8BAB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4" w:history="1">
            <w:r w:rsidR="00B035D6" w:rsidRPr="00012012">
              <w:rPr>
                <w:rStyle w:val="Hipercze"/>
                <w:noProof/>
              </w:rPr>
              <w:t>13.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Porównanie z danymi IATA – ASKM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_Toc200533904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22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454D6E02" w14:textId="3284A66B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5" w:history="1">
            <w:r w:rsidR="00B035D6" w:rsidRPr="00012012">
              <w:rPr>
                <w:rStyle w:val="Hipercze"/>
                <w:noProof/>
              </w:rPr>
              <w:t>14.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Porównanie z danymi IATA – LF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_Toc200533905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23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46822B2D" w14:textId="367A70C2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6" w:history="1">
            <w:r w:rsidR="00B035D6" w:rsidRPr="00012012">
              <w:rPr>
                <w:rStyle w:val="Hipercze"/>
                <w:noProof/>
              </w:rPr>
              <w:t>15.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Przewoźnicy – udział w rynku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_Toc200533906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25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0ABF3F22" w14:textId="63875B56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7" w:history="1">
            <w:r w:rsidR="00B035D6" w:rsidRPr="00012012">
              <w:rPr>
                <w:rStyle w:val="Hipercze"/>
                <w:noProof/>
              </w:rPr>
              <w:t>16.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Przewoźnicy – modele biznesowe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_Toc200533907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26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65E5B066" w14:textId="581C4C98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8" w:history="1">
            <w:r w:rsidR="00B035D6" w:rsidRPr="00012012">
              <w:rPr>
                <w:rStyle w:val="Hipercze"/>
                <w:noProof/>
              </w:rPr>
              <w:t>17.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Porównanie przewozów LCC i sieciowych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_Toc200533908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27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37AD29F9" w14:textId="361126B5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09" w:history="1">
            <w:r w:rsidR="00B035D6" w:rsidRPr="00012012">
              <w:rPr>
                <w:rStyle w:val="Hipercze"/>
                <w:noProof/>
              </w:rPr>
              <w:t>18.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Spis wykresów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_Toc200533909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29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09300509" w14:textId="72CFBC66" w:rsidR="00B035D6" w:rsidRDefault="003D1A14" w:rsidP="00B035D6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200533910" w:history="1">
            <w:r w:rsidR="00B035D6" w:rsidRPr="00012012">
              <w:rPr>
                <w:rStyle w:val="Hipercze"/>
                <w:noProof/>
              </w:rPr>
              <w:t>19.</w:t>
            </w:r>
            <w:r w:rsidR="00B035D6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B035D6" w:rsidRPr="00012012">
              <w:rPr>
                <w:rStyle w:val="Hipercze"/>
                <w:noProof/>
              </w:rPr>
              <w:t>Spis tabel</w:t>
            </w:r>
            <w:r w:rsidR="00B035D6">
              <w:rPr>
                <w:rStyle w:val="Hipercze"/>
                <w:noProof/>
              </w:rPr>
              <w:t xml:space="preserve"> </w:t>
            </w:r>
            <w:r w:rsidR="00B035D6">
              <w:rPr>
                <w:noProof/>
                <w:webHidden/>
              </w:rPr>
              <w:tab/>
            </w:r>
            <w:r w:rsidR="00B035D6">
              <w:rPr>
                <w:noProof/>
                <w:webHidden/>
              </w:rPr>
              <w:fldChar w:fldCharType="begin"/>
            </w:r>
            <w:r w:rsidR="00B035D6">
              <w:rPr>
                <w:noProof/>
                <w:webHidden/>
              </w:rPr>
              <w:instrText xml:space="preserve"> PAGEREF _Toc200533910 \h </w:instrText>
            </w:r>
            <w:r w:rsidR="00B035D6">
              <w:rPr>
                <w:noProof/>
                <w:webHidden/>
              </w:rPr>
            </w:r>
            <w:r w:rsidR="00B035D6">
              <w:rPr>
                <w:noProof/>
                <w:webHidden/>
              </w:rPr>
              <w:fldChar w:fldCharType="separate"/>
            </w:r>
            <w:r w:rsidR="0089169E">
              <w:rPr>
                <w:noProof/>
                <w:webHidden/>
              </w:rPr>
              <w:t>29</w:t>
            </w:r>
            <w:r w:rsidR="00B035D6">
              <w:rPr>
                <w:noProof/>
                <w:webHidden/>
              </w:rPr>
              <w:fldChar w:fldCharType="end"/>
            </w:r>
          </w:hyperlink>
        </w:p>
        <w:p w14:paraId="39C57737" w14:textId="1E4F41D9" w:rsidR="00EF21A5" w:rsidRPr="007D383E" w:rsidRDefault="00EF21A5" w:rsidP="00EA13B7">
          <w:pPr>
            <w:spacing w:after="0"/>
            <w:rPr>
              <w:b/>
              <w:bCs/>
              <w:szCs w:val="24"/>
            </w:rPr>
          </w:pPr>
          <w:r w:rsidRPr="007D383E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677B3B5D" w14:textId="77777777" w:rsidR="0006530F" w:rsidRPr="007D383E" w:rsidRDefault="0006530F" w:rsidP="00EF21A5">
      <w:r w:rsidRPr="007D383E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14:paraId="7DA15C70" w14:textId="77777777" w:rsidR="00527143" w:rsidRPr="007D383E" w:rsidRDefault="00EF21A5" w:rsidP="005A6434">
      <w:pPr>
        <w:pStyle w:val="Nagwek1"/>
        <w:numPr>
          <w:ilvl w:val="0"/>
          <w:numId w:val="2"/>
        </w:numPr>
      </w:pPr>
      <w:bookmarkStart w:id="3" w:name="_Toc200533887"/>
      <w:r w:rsidRPr="007D383E">
        <w:lastRenderedPageBreak/>
        <w:t>Słowniczek</w:t>
      </w:r>
      <w:bookmarkEnd w:id="3"/>
    </w:p>
    <w:p w14:paraId="326425FB" w14:textId="77777777" w:rsidR="00527143" w:rsidRPr="007D383E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7D383E">
        <w:rPr>
          <w:rStyle w:val="Pogrubienie"/>
        </w:rPr>
        <w:t xml:space="preserve">LF </w:t>
      </w:r>
      <w:r w:rsidRPr="007D383E">
        <w:rPr>
          <w:rStyle w:val="Pogrubienie"/>
          <w:b w:val="0"/>
        </w:rPr>
        <w:t>(Load Factor)</w:t>
      </w:r>
      <w:r w:rsidRPr="007D383E">
        <w:rPr>
          <w:rFonts w:asciiTheme="minorHAnsi" w:hAnsiTheme="minorHAnsi" w:cstheme="minorHAnsi"/>
          <w:b/>
          <w:bCs/>
        </w:rPr>
        <w:t xml:space="preserve"> </w:t>
      </w:r>
      <w:r w:rsidRPr="007D383E">
        <w:rPr>
          <w:rFonts w:asciiTheme="minorHAnsi" w:hAnsiTheme="minorHAnsi" w:cstheme="minorHAnsi"/>
        </w:rPr>
        <w:t>– współczynnik wykorzystania miejsc w samolo</w:t>
      </w:r>
      <w:r w:rsidR="007A7454" w:rsidRPr="007D383E">
        <w:rPr>
          <w:rFonts w:asciiTheme="minorHAnsi" w:hAnsiTheme="minorHAnsi" w:cstheme="minorHAnsi"/>
        </w:rPr>
        <w:t>cie, liczony jako iloraz RPKM i </w:t>
      </w:r>
      <w:r w:rsidRPr="007D383E">
        <w:rPr>
          <w:rFonts w:asciiTheme="minorHAnsi" w:hAnsiTheme="minorHAnsi" w:cstheme="minorHAnsi"/>
        </w:rPr>
        <w:t>ASKM</w:t>
      </w:r>
    </w:p>
    <w:p w14:paraId="4711DA3C" w14:textId="77777777" w:rsidR="00527143" w:rsidRPr="007D383E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7D383E">
        <w:rPr>
          <w:rStyle w:val="Pogrubienie"/>
        </w:rPr>
        <w:t xml:space="preserve">SF </w:t>
      </w:r>
      <w:r w:rsidRPr="007D383E">
        <w:rPr>
          <w:rStyle w:val="Pogrubienie"/>
          <w:b w:val="0"/>
        </w:rPr>
        <w:t>(Seat Factor)</w:t>
      </w:r>
      <w:r w:rsidRPr="007D383E">
        <w:rPr>
          <w:rFonts w:asciiTheme="minorHAnsi" w:hAnsiTheme="minorHAnsi" w:cstheme="minorHAnsi"/>
          <w:b/>
          <w:bCs/>
        </w:rPr>
        <w:t xml:space="preserve"> </w:t>
      </w:r>
      <w:r w:rsidRPr="007D383E">
        <w:rPr>
          <w:rFonts w:asciiTheme="minorHAnsi" w:hAnsiTheme="minorHAnsi" w:cstheme="minorHAnsi"/>
        </w:rPr>
        <w:t xml:space="preserve">– współczynnik wypełnienia miejsc, liczony jako iloraz </w:t>
      </w:r>
      <w:r w:rsidR="007A7454" w:rsidRPr="007D383E">
        <w:rPr>
          <w:rFonts w:asciiTheme="minorHAnsi" w:hAnsiTheme="minorHAnsi" w:cstheme="minorHAnsi"/>
        </w:rPr>
        <w:t>liczby pasażerów i </w:t>
      </w:r>
      <w:r w:rsidRPr="007D383E">
        <w:rPr>
          <w:rFonts w:asciiTheme="minorHAnsi" w:hAnsiTheme="minorHAnsi" w:cstheme="minorHAnsi"/>
        </w:rPr>
        <w:t>miejsc pasażerskich oferowanych na rynku</w:t>
      </w:r>
    </w:p>
    <w:p w14:paraId="12EE17A7" w14:textId="77777777" w:rsidR="00527143" w:rsidRPr="00DA15C7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DA15C7">
        <w:rPr>
          <w:rStyle w:val="Pogrubienie"/>
          <w:lang w:val="en-US"/>
        </w:rPr>
        <w:t xml:space="preserve">RPKM </w:t>
      </w:r>
      <w:r w:rsidRPr="00DA15C7">
        <w:rPr>
          <w:rStyle w:val="Pogrubienie"/>
          <w:b w:val="0"/>
          <w:lang w:val="en-US"/>
        </w:rPr>
        <w:t>(Revenue Passenger Kilometers)</w:t>
      </w:r>
      <w:r w:rsidRPr="00DA15C7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15C7">
        <w:rPr>
          <w:rFonts w:asciiTheme="minorHAnsi" w:hAnsiTheme="minorHAnsi" w:cstheme="minorHAnsi"/>
          <w:lang w:val="en-US"/>
        </w:rPr>
        <w:t>– praca przewozowa</w:t>
      </w:r>
    </w:p>
    <w:p w14:paraId="530E0BB4" w14:textId="77777777" w:rsidR="00FE33F3" w:rsidRPr="00DA15C7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DA15C7">
        <w:rPr>
          <w:rStyle w:val="Pogrubienie"/>
          <w:lang w:val="en-US"/>
        </w:rPr>
        <w:t xml:space="preserve">ASKM </w:t>
      </w:r>
      <w:r w:rsidRPr="00DA15C7">
        <w:rPr>
          <w:rStyle w:val="Pogrubienie"/>
          <w:b w:val="0"/>
          <w:lang w:val="en-US"/>
        </w:rPr>
        <w:t>(Available Seat Kilometers)</w:t>
      </w:r>
      <w:r w:rsidRPr="00DA15C7">
        <w:rPr>
          <w:rStyle w:val="Pogrubienie"/>
          <w:lang w:val="en-US"/>
        </w:rPr>
        <w:t xml:space="preserve"> </w:t>
      </w:r>
      <w:r w:rsidRPr="00DA15C7">
        <w:rPr>
          <w:rFonts w:asciiTheme="minorHAnsi" w:hAnsiTheme="minorHAnsi" w:cstheme="minorHAnsi"/>
          <w:lang w:val="en-US"/>
        </w:rPr>
        <w:t>– oferowanie</w:t>
      </w:r>
    </w:p>
    <w:p w14:paraId="5CE3CE68" w14:textId="77777777" w:rsidR="00FE33F3" w:rsidRPr="00DA15C7" w:rsidRDefault="00FE33F3" w:rsidP="00FE33F3">
      <w:pPr>
        <w:rPr>
          <w:rFonts w:eastAsia="Times New Roman"/>
          <w:szCs w:val="24"/>
          <w:lang w:val="en-US" w:eastAsia="pl-PL"/>
        </w:rPr>
      </w:pPr>
      <w:r w:rsidRPr="00DA15C7">
        <w:rPr>
          <w:lang w:val="en-US"/>
        </w:rPr>
        <w:br w:type="page"/>
      </w:r>
    </w:p>
    <w:p w14:paraId="2A7259B4" w14:textId="701D3624" w:rsidR="00527143" w:rsidRDefault="00EF21A5" w:rsidP="005A6434">
      <w:pPr>
        <w:pStyle w:val="Nagwek1"/>
      </w:pPr>
      <w:bookmarkStart w:id="4" w:name="_Toc200533888"/>
      <w:r w:rsidRPr="007D383E">
        <w:lastRenderedPageBreak/>
        <w:t>Podsumowanie</w:t>
      </w:r>
      <w:bookmarkEnd w:id="4"/>
    </w:p>
    <w:p w14:paraId="22A3CC6C" w14:textId="00A87955" w:rsidR="00801C4F" w:rsidRPr="005D3411" w:rsidRDefault="000B7D34" w:rsidP="00801C4F">
      <w:pPr>
        <w:rPr>
          <w:b/>
          <w:lang w:eastAsia="pl-PL"/>
        </w:rPr>
      </w:pPr>
      <w:r>
        <w:rPr>
          <w:rStyle w:val="Pogrubienie"/>
        </w:rPr>
        <w:t>W pierwszym kwartale 2025</w:t>
      </w:r>
      <w:r w:rsidRPr="000B7D34">
        <w:rPr>
          <w:rStyle w:val="Pogrubienie"/>
        </w:rPr>
        <w:t xml:space="preserve"> roku w polskich portach lotniczych obsłużono prawie </w:t>
      </w:r>
      <w:r>
        <w:rPr>
          <w:rStyle w:val="Pogrubienie"/>
        </w:rPr>
        <w:t>12,3</w:t>
      </w:r>
      <w:r w:rsidRPr="000B7D34">
        <w:rPr>
          <w:rStyle w:val="Pogrubienie"/>
        </w:rPr>
        <w:t xml:space="preserve"> mln pasażerów - o </w:t>
      </w:r>
      <w:r>
        <w:rPr>
          <w:rStyle w:val="Pogrubienie"/>
        </w:rPr>
        <w:t>11,8</w:t>
      </w:r>
      <w:r w:rsidRPr="000B7D34">
        <w:rPr>
          <w:rStyle w:val="Pogrubienie"/>
        </w:rPr>
        <w:t>% więcej niż w pierwszym kwartale 202</w:t>
      </w:r>
      <w:r>
        <w:rPr>
          <w:rStyle w:val="Pogrubienie"/>
        </w:rPr>
        <w:t>4 roku (+1,3</w:t>
      </w:r>
      <w:r w:rsidRPr="000B7D34">
        <w:rPr>
          <w:rStyle w:val="Pogrubienie"/>
        </w:rPr>
        <w:t xml:space="preserve"> mln) i </w:t>
      </w:r>
      <w:r>
        <w:rPr>
          <w:rStyle w:val="Pogrubienie"/>
        </w:rPr>
        <w:t>31,3</w:t>
      </w:r>
      <w:r w:rsidRPr="000B7D34">
        <w:rPr>
          <w:rStyle w:val="Pogrubienie"/>
        </w:rPr>
        <w:t>% więcej</w:t>
      </w:r>
      <w:r>
        <w:rPr>
          <w:rStyle w:val="Pogrubienie"/>
        </w:rPr>
        <w:t xml:space="preserve"> niż w analogicznym okresie 2019</w:t>
      </w:r>
      <w:r w:rsidRPr="000B7D34">
        <w:rPr>
          <w:rStyle w:val="Pogrubienie"/>
        </w:rPr>
        <w:t xml:space="preserve"> roku (+</w:t>
      </w:r>
      <w:r>
        <w:rPr>
          <w:rStyle w:val="Pogrubienie"/>
        </w:rPr>
        <w:t>2,9</w:t>
      </w:r>
      <w:r w:rsidRPr="000B7D34">
        <w:rPr>
          <w:rStyle w:val="Pogrubienie"/>
        </w:rPr>
        <w:t xml:space="preserve"> mln). Liczba operacji pasażerskich wyniosła </w:t>
      </w:r>
      <w:r>
        <w:rPr>
          <w:rStyle w:val="Pogrubienie"/>
        </w:rPr>
        <w:t>91,9</w:t>
      </w:r>
      <w:r w:rsidRPr="000B7D34">
        <w:rPr>
          <w:rStyle w:val="Pogrubienie"/>
        </w:rPr>
        <w:t xml:space="preserve"> tys. i przewyższyła </w:t>
      </w:r>
      <w:r>
        <w:rPr>
          <w:rStyle w:val="Pogrubienie"/>
        </w:rPr>
        <w:t>wynik z pierwszego kwartału 2024</w:t>
      </w:r>
      <w:r w:rsidRPr="000B7D34">
        <w:rPr>
          <w:rStyle w:val="Pogrubienie"/>
        </w:rPr>
        <w:t xml:space="preserve"> roku o </w:t>
      </w:r>
      <w:r>
        <w:rPr>
          <w:rStyle w:val="Pogrubienie"/>
        </w:rPr>
        <w:t>8,2</w:t>
      </w:r>
      <w:r w:rsidRPr="000B7D34">
        <w:rPr>
          <w:rStyle w:val="Pogrubienie"/>
        </w:rPr>
        <w:t>%, a wy</w:t>
      </w:r>
      <w:r>
        <w:rPr>
          <w:rStyle w:val="Pogrubienie"/>
        </w:rPr>
        <w:t>nik z tego samego kwartału w 2019</w:t>
      </w:r>
      <w:r w:rsidRPr="000B7D34">
        <w:rPr>
          <w:rStyle w:val="Pogrubienie"/>
        </w:rPr>
        <w:t xml:space="preserve"> roku – o </w:t>
      </w:r>
      <w:r>
        <w:rPr>
          <w:rStyle w:val="Pogrubienie"/>
        </w:rPr>
        <w:t>8,6</w:t>
      </w:r>
      <w:r w:rsidRPr="000B7D34">
        <w:rPr>
          <w:rStyle w:val="Pogrubienie"/>
        </w:rPr>
        <w:t>%.</w:t>
      </w:r>
    </w:p>
    <w:p w14:paraId="0622712A" w14:textId="6394067E" w:rsidR="00801C4F" w:rsidRPr="007D383E" w:rsidRDefault="00744A54" w:rsidP="00801C4F">
      <w:pPr>
        <w:rPr>
          <w:rFonts w:cstheme="minorHAnsi"/>
          <w:szCs w:val="24"/>
        </w:rPr>
      </w:pPr>
      <w:r w:rsidRPr="00744A54">
        <w:rPr>
          <w:rFonts w:cstheme="minorHAnsi"/>
          <w:szCs w:val="24"/>
        </w:rPr>
        <w:t>Średnia wielkość samolotu w pierwszym kwartale 2025 r. wzrosła o 2 miejsca</w:t>
      </w:r>
      <w:r w:rsidR="000B7D34">
        <w:rPr>
          <w:rFonts w:cstheme="minorHAnsi"/>
          <w:szCs w:val="24"/>
        </w:rPr>
        <w:t xml:space="preserve"> względem analogicznego okresu roku ubiegłego (do 164 miejsc)</w:t>
      </w:r>
      <w:r w:rsidRPr="00744A54">
        <w:rPr>
          <w:rFonts w:cstheme="minorHAnsi"/>
          <w:szCs w:val="24"/>
        </w:rPr>
        <w:t>. Nieznacznie zwiększyła się również średnia liczba pasażerów przypadających na rejs (135 pasażerów, wzrost o 4 pasażerów). Współczynnik wypełnienia miejsc w samolocie (S/F) wyniósł 82,4% i wzrósł o 1,5 punktu procentowego w porównaniu do analogicznego okresu 2024</w:t>
      </w:r>
      <w:r w:rsidR="00446501">
        <w:rPr>
          <w:rFonts w:cstheme="minorHAnsi"/>
          <w:szCs w:val="24"/>
        </w:rPr>
        <w:t>. Współczynnik LF wyniósł 86,5% i</w:t>
      </w:r>
      <w:r w:rsidRPr="00744A54">
        <w:rPr>
          <w:rFonts w:cstheme="minorHAnsi"/>
          <w:szCs w:val="24"/>
        </w:rPr>
        <w:t xml:space="preserve"> wzrósł o 0,8 punktu procentowego.</w:t>
      </w:r>
    </w:p>
    <w:p w14:paraId="08F6202A" w14:textId="5466834B" w:rsidR="00083FB3" w:rsidRPr="007D383E" w:rsidRDefault="00744A54" w:rsidP="00083FB3">
      <w:pPr>
        <w:rPr>
          <w:rFonts w:cstheme="minorHAnsi"/>
          <w:szCs w:val="24"/>
        </w:rPr>
      </w:pPr>
      <w:r w:rsidRPr="00744A54">
        <w:rPr>
          <w:rFonts w:cstheme="minorHAnsi"/>
          <w:szCs w:val="24"/>
        </w:rPr>
        <w:t xml:space="preserve">W pierwszym kwartale 2025 roku w polskich portach lotniczych obsłużono </w:t>
      </w:r>
      <w:r w:rsidR="00887B28">
        <w:rPr>
          <w:rFonts w:cstheme="minorHAnsi"/>
          <w:szCs w:val="24"/>
        </w:rPr>
        <w:t xml:space="preserve">prawie </w:t>
      </w:r>
      <w:r w:rsidR="006659C9">
        <w:rPr>
          <w:rFonts w:cstheme="minorHAnsi"/>
          <w:szCs w:val="24"/>
        </w:rPr>
        <w:t>51</w:t>
      </w:r>
      <w:r w:rsidRPr="00744A54">
        <w:rPr>
          <w:rFonts w:cstheme="minorHAnsi"/>
          <w:szCs w:val="24"/>
        </w:rPr>
        <w:t xml:space="preserve"> tys. ton cargo lotniczego. W porównaniu do analogicznego okresu 2024 roku przewozy towarowe realizowane na pokładach statków powietrznych wzrosły o </w:t>
      </w:r>
      <w:r w:rsidR="006659C9">
        <w:rPr>
          <w:rFonts w:cstheme="minorHAnsi"/>
          <w:szCs w:val="24"/>
        </w:rPr>
        <w:t>8,4</w:t>
      </w:r>
      <w:r w:rsidRPr="00744A54">
        <w:rPr>
          <w:rFonts w:cstheme="minorHAnsi"/>
          <w:szCs w:val="24"/>
        </w:rPr>
        <w:t xml:space="preserve">%. Liczba operacji lotniczych cargo wzrosła natomiast o </w:t>
      </w:r>
      <w:r w:rsidR="006659C9">
        <w:rPr>
          <w:rFonts w:cstheme="minorHAnsi"/>
          <w:szCs w:val="24"/>
        </w:rPr>
        <w:t>0,9</w:t>
      </w:r>
      <w:r w:rsidRPr="00744A54">
        <w:rPr>
          <w:rFonts w:cstheme="minorHAnsi"/>
          <w:szCs w:val="24"/>
        </w:rPr>
        <w:t>%.</w:t>
      </w:r>
    </w:p>
    <w:p w14:paraId="653CAE2B" w14:textId="58AA220B" w:rsidR="00083FB3" w:rsidRPr="007D383E" w:rsidRDefault="00744A54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Przewozy pasażerskie w polskich portach lotniczych w </w:t>
      </w:r>
      <w:r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były na wyższym poziomie niż te w europejskich portach zrzeszonych w organizacji </w:t>
      </w:r>
      <w:r>
        <w:rPr>
          <w:rFonts w:cstheme="minorHAnsi"/>
          <w:szCs w:val="24"/>
        </w:rPr>
        <w:t>ACI Europe o </w:t>
      </w:r>
      <w:r w:rsidR="006659C9">
        <w:rPr>
          <w:rFonts w:cstheme="minorHAnsi"/>
          <w:szCs w:val="24"/>
        </w:rPr>
        <w:t>7,5</w:t>
      </w:r>
      <w:r>
        <w:rPr>
          <w:rFonts w:cstheme="minorHAnsi"/>
          <w:szCs w:val="24"/>
        </w:rPr>
        <w:t> punktu procentowego</w:t>
      </w:r>
      <w:r w:rsidRPr="007D383E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w porównaniu do analogicznego okresu 2024 r.). Lotnisko</w:t>
      </w:r>
      <w:r w:rsidRPr="007D383E">
        <w:rPr>
          <w:rFonts w:cstheme="minorHAnsi"/>
          <w:szCs w:val="24"/>
        </w:rPr>
        <w:t xml:space="preserve"> Chopina w Warszawie</w:t>
      </w:r>
      <w:r w:rsidR="006659C9">
        <w:rPr>
          <w:rFonts w:cstheme="minorHAnsi"/>
          <w:szCs w:val="24"/>
        </w:rPr>
        <w:t xml:space="preserve"> i Port Lotniczy Kraków-</w:t>
      </w:r>
      <w:r>
        <w:rPr>
          <w:rFonts w:cstheme="minorHAnsi"/>
          <w:szCs w:val="24"/>
        </w:rPr>
        <w:t>Balice osiągnęły</w:t>
      </w:r>
      <w:r w:rsidRPr="007D383E">
        <w:rPr>
          <w:rFonts w:cstheme="minorHAnsi"/>
          <w:szCs w:val="24"/>
        </w:rPr>
        <w:t xml:space="preserve"> </w:t>
      </w:r>
      <w:r w:rsidR="006659C9">
        <w:rPr>
          <w:rFonts w:cstheme="minorHAnsi"/>
          <w:szCs w:val="24"/>
        </w:rPr>
        <w:t xml:space="preserve">razem </w:t>
      </w:r>
      <w:r w:rsidRPr="007D383E">
        <w:rPr>
          <w:rFonts w:cstheme="minorHAnsi"/>
          <w:szCs w:val="24"/>
        </w:rPr>
        <w:t>wynik o</w:t>
      </w:r>
      <w:r>
        <w:rPr>
          <w:rFonts w:cstheme="minorHAnsi"/>
          <w:szCs w:val="24"/>
        </w:rPr>
        <w:t> 9,5 punktu procentowego</w:t>
      </w:r>
      <w:r w:rsidRPr="007D383E">
        <w:rPr>
          <w:rFonts w:cstheme="minorHAnsi"/>
          <w:szCs w:val="24"/>
        </w:rPr>
        <w:t xml:space="preserve"> lepszy od porównywalnych portów europejskich (obsługujących 10-25 mln pasażerów rocznie). Porty regionalne obsługujące pomiędzy 1, a 10 mln pasażerów rocznie uzyskały wzrost o </w:t>
      </w:r>
      <w:r>
        <w:rPr>
          <w:rFonts w:cstheme="minorHAnsi"/>
          <w:szCs w:val="24"/>
        </w:rPr>
        <w:t>3,</w:t>
      </w:r>
      <w:r w:rsidR="00236B0F">
        <w:rPr>
          <w:rFonts w:cstheme="minorHAnsi"/>
          <w:szCs w:val="24"/>
        </w:rPr>
        <w:t>6</w:t>
      </w:r>
      <w:r>
        <w:rPr>
          <w:rFonts w:cstheme="minorHAnsi"/>
          <w:szCs w:val="24"/>
        </w:rPr>
        <w:t xml:space="preserve"> punktu procentowego</w:t>
      </w:r>
      <w:r w:rsidRPr="007D383E">
        <w:rPr>
          <w:rFonts w:cstheme="minorHAnsi"/>
          <w:szCs w:val="24"/>
        </w:rPr>
        <w:t xml:space="preserve"> wyższy w porównaniu do podobnej wielkości portów ACI Europe. Natomiast porty lotnicze obsługujące mniej niż 1 mln pasażerów rocznie </w:t>
      </w:r>
      <w:r w:rsidR="006659C9">
        <w:rPr>
          <w:rFonts w:cstheme="minorHAnsi"/>
          <w:szCs w:val="24"/>
        </w:rPr>
        <w:t>uzyskały wynik gorszy</w:t>
      </w:r>
      <w:r>
        <w:rPr>
          <w:rFonts w:cstheme="minorHAnsi"/>
          <w:szCs w:val="24"/>
        </w:rPr>
        <w:t xml:space="preserve"> o 16,7 punktu procentowego w stosunku podobnych portów ACI Europe.</w:t>
      </w:r>
    </w:p>
    <w:p w14:paraId="2A7A44B2" w14:textId="04E0452C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ruchu międzynarodowym </w:t>
      </w:r>
      <w:r>
        <w:rPr>
          <w:rFonts w:cstheme="minorHAnsi"/>
          <w:szCs w:val="24"/>
        </w:rPr>
        <w:t>osiągnięto</w:t>
      </w:r>
      <w:r w:rsidRPr="007D383E">
        <w:rPr>
          <w:rFonts w:cstheme="minorHAnsi"/>
          <w:szCs w:val="24"/>
        </w:rPr>
        <w:t xml:space="preserve"> w</w:t>
      </w:r>
      <w:r>
        <w:rPr>
          <w:rFonts w:cstheme="minorHAnsi"/>
          <w:szCs w:val="24"/>
        </w:rPr>
        <w:t xml:space="preserve"> pierwszym kwartale 2025</w:t>
      </w:r>
      <w:r w:rsidRPr="007D383E">
        <w:rPr>
          <w:rFonts w:cstheme="minorHAnsi"/>
          <w:szCs w:val="24"/>
        </w:rPr>
        <w:t xml:space="preserve"> roku wyższą dynamikę w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porównaniu do przewozów międzynarodowych zrealizowanych przez porty lotnicze ACI Europe (o </w:t>
      </w:r>
      <w:r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punktów procentowych</w:t>
      </w:r>
      <w:r w:rsidRPr="007D383E">
        <w:rPr>
          <w:rFonts w:cstheme="minorHAnsi"/>
          <w:szCs w:val="24"/>
        </w:rPr>
        <w:t xml:space="preserve">). </w:t>
      </w:r>
      <w:r>
        <w:rPr>
          <w:rFonts w:cstheme="minorHAnsi"/>
          <w:szCs w:val="24"/>
        </w:rPr>
        <w:t>Nieznaczne różnice nastąpiły z kolei w przypadku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rozwoju </w:t>
      </w:r>
      <w:r w:rsidRPr="007D383E">
        <w:rPr>
          <w:rFonts w:cstheme="minorHAnsi"/>
          <w:szCs w:val="24"/>
        </w:rPr>
        <w:t xml:space="preserve">przewozów krajowych </w:t>
      </w:r>
      <w:r>
        <w:rPr>
          <w:rFonts w:cstheme="minorHAnsi"/>
          <w:szCs w:val="24"/>
        </w:rPr>
        <w:t>zarówno w Polsce</w:t>
      </w:r>
      <w:r w:rsidR="006659C9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jak </w:t>
      </w:r>
      <w:r w:rsidR="006659C9">
        <w:rPr>
          <w:rFonts w:cstheme="minorHAnsi"/>
          <w:szCs w:val="24"/>
        </w:rPr>
        <w:t>i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portów ACI Europe</w:t>
      </w:r>
      <w:r w:rsidR="006659C9">
        <w:rPr>
          <w:rFonts w:cstheme="minorHAnsi"/>
          <w:szCs w:val="24"/>
        </w:rPr>
        <w:t xml:space="preserve"> (polskie lotniska uzyskały wynik o 0,1 punktu procentowego lepszy niż porty ACI Europe)</w:t>
      </w:r>
      <w:r w:rsidRPr="007D383E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="006659C9">
        <w:rPr>
          <w:rFonts w:cstheme="minorHAnsi"/>
          <w:szCs w:val="24"/>
        </w:rPr>
        <w:t xml:space="preserve">Dynamiki </w:t>
      </w:r>
      <w:r>
        <w:rPr>
          <w:rFonts w:cstheme="minorHAnsi"/>
          <w:szCs w:val="24"/>
        </w:rPr>
        <w:t xml:space="preserve">w obu przypadkach były </w:t>
      </w:r>
      <w:r w:rsidR="006659C9">
        <w:rPr>
          <w:rFonts w:cstheme="minorHAnsi"/>
          <w:szCs w:val="24"/>
        </w:rPr>
        <w:t>na bardzo podobnym poziomie</w:t>
      </w:r>
      <w:r>
        <w:rPr>
          <w:rFonts w:cstheme="minorHAnsi"/>
          <w:szCs w:val="24"/>
        </w:rPr>
        <w:t xml:space="preserve"> i doszło do</w:t>
      </w:r>
      <w:r w:rsidR="006659C9">
        <w:rPr>
          <w:rFonts w:cstheme="minorHAnsi"/>
          <w:szCs w:val="24"/>
        </w:rPr>
        <w:t xml:space="preserve"> niewielkich</w:t>
      </w:r>
      <w:r>
        <w:rPr>
          <w:rFonts w:cstheme="minorHAnsi"/>
          <w:szCs w:val="24"/>
        </w:rPr>
        <w:t xml:space="preserve"> wzrostów w ruchu.</w:t>
      </w:r>
    </w:p>
    <w:p w14:paraId="2FAA33C3" w14:textId="327753EF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Wśród portów lotniczych największe wzrosty ilościowe w stosunku do </w:t>
      </w:r>
      <w:r w:rsidR="006659C9">
        <w:rPr>
          <w:rFonts w:cstheme="minorHAnsi"/>
          <w:szCs w:val="24"/>
        </w:rPr>
        <w:t>pierwszego kwartału 2024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roku wykazał</w:t>
      </w:r>
      <w:r w:rsidR="006659C9">
        <w:rPr>
          <w:rFonts w:cstheme="minorHAnsi"/>
          <w:szCs w:val="24"/>
        </w:rPr>
        <w:t>y</w:t>
      </w:r>
      <w:r w:rsidRPr="007D383E">
        <w:rPr>
          <w:rFonts w:cstheme="minorHAnsi"/>
          <w:szCs w:val="24"/>
        </w:rPr>
        <w:t xml:space="preserve"> Lotnisko Chopina w Warszawie</w:t>
      </w:r>
      <w:r w:rsidR="006659C9">
        <w:rPr>
          <w:rFonts w:cstheme="minorHAnsi"/>
          <w:szCs w:val="24"/>
        </w:rPr>
        <w:t xml:space="preserve"> oraz porty lotnicze</w:t>
      </w:r>
      <w:r w:rsidRPr="007D383E">
        <w:rPr>
          <w:rFonts w:cstheme="minorHAnsi"/>
          <w:szCs w:val="24"/>
        </w:rPr>
        <w:t xml:space="preserve"> Kraków-Balice </w:t>
      </w:r>
      <w:r w:rsidR="006659C9">
        <w:rPr>
          <w:rFonts w:cstheme="minorHAnsi"/>
          <w:szCs w:val="24"/>
        </w:rPr>
        <w:t>i</w:t>
      </w:r>
      <w:r w:rsidR="00446501">
        <w:rPr>
          <w:rFonts w:cstheme="minorHAnsi"/>
          <w:szCs w:val="24"/>
        </w:rPr>
        <w:t xml:space="preserve"> Katowice w </w:t>
      </w:r>
      <w:r w:rsidRPr="007D383E">
        <w:rPr>
          <w:rFonts w:cstheme="minorHAnsi"/>
          <w:szCs w:val="24"/>
        </w:rPr>
        <w:t>Pyrzowic</w:t>
      </w:r>
      <w:r w:rsidR="00446501">
        <w:rPr>
          <w:rFonts w:cstheme="minorHAnsi"/>
          <w:szCs w:val="24"/>
        </w:rPr>
        <w:t>ach</w:t>
      </w:r>
      <w:r w:rsidRPr="007D383E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="006659C9">
        <w:rPr>
          <w:rFonts w:cstheme="minorHAnsi"/>
          <w:szCs w:val="24"/>
        </w:rPr>
        <w:t>Spadki wystąpiły w przypadku portów Warszawa-Modlin, Olsztyn-Mazury, Warszawa-Radom, Bydgoszcz i Łódź.</w:t>
      </w:r>
    </w:p>
    <w:p w14:paraId="2F90842D" w14:textId="37DF48AC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>W międzynarodowych przewozach r</w:t>
      </w:r>
      <w:r>
        <w:rPr>
          <w:rFonts w:cstheme="minorHAnsi"/>
          <w:szCs w:val="24"/>
        </w:rPr>
        <w:t>egularnych w pierwszym kwartale 2025</w:t>
      </w:r>
      <w:r w:rsidRPr="007D383E">
        <w:rPr>
          <w:rFonts w:cstheme="minorHAnsi"/>
          <w:szCs w:val="24"/>
        </w:rPr>
        <w:t xml:space="preserve"> roku najpopularniejszym kierunkiem podróży z/do Polski była Wielka Brytania, a następnie Włochy i Hiszpania. </w:t>
      </w:r>
      <w:r w:rsidR="00446501">
        <w:rPr>
          <w:rFonts w:cstheme="minorHAnsi"/>
          <w:szCs w:val="24"/>
        </w:rPr>
        <w:t xml:space="preserve">Te kierunki odnotowały również największe wzrosty względem pierwszego kwartału 2024 r. </w:t>
      </w:r>
      <w:r>
        <w:rPr>
          <w:rFonts w:cstheme="minorHAnsi"/>
          <w:szCs w:val="24"/>
        </w:rPr>
        <w:t>W przypadku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ruchu </w:t>
      </w:r>
      <w:r w:rsidRPr="007D383E">
        <w:rPr>
          <w:rFonts w:cstheme="minorHAnsi"/>
          <w:szCs w:val="24"/>
        </w:rPr>
        <w:t>czarter</w:t>
      </w:r>
      <w:r>
        <w:rPr>
          <w:rFonts w:cstheme="minorHAnsi"/>
          <w:szCs w:val="24"/>
        </w:rPr>
        <w:t>owego</w:t>
      </w:r>
      <w:r w:rsidRPr="007D383E">
        <w:rPr>
          <w:rFonts w:cstheme="minorHAnsi"/>
          <w:szCs w:val="24"/>
        </w:rPr>
        <w:t xml:space="preserve"> </w:t>
      </w:r>
      <w:r w:rsidR="005118C8">
        <w:rPr>
          <w:rFonts w:cstheme="minorHAnsi"/>
          <w:szCs w:val="24"/>
        </w:rPr>
        <w:t>najpopularniejsze były</w:t>
      </w:r>
      <w:r>
        <w:rPr>
          <w:rFonts w:cstheme="minorHAnsi"/>
          <w:szCs w:val="24"/>
        </w:rPr>
        <w:t xml:space="preserve"> Egipt, Hiszpania i Dominikana</w:t>
      </w:r>
      <w:r w:rsidR="005118C8">
        <w:rPr>
          <w:rFonts w:cstheme="minorHAnsi"/>
          <w:szCs w:val="24"/>
        </w:rPr>
        <w:t xml:space="preserve">, które również wykazały największe wzrosty. </w:t>
      </w:r>
    </w:p>
    <w:p w14:paraId="562B7F00" w14:textId="340F6BEC" w:rsidR="00744A54" w:rsidRDefault="00744A54" w:rsidP="00744A54">
      <w:pPr>
        <w:rPr>
          <w:rFonts w:cstheme="minorHAnsi"/>
          <w:szCs w:val="24"/>
        </w:rPr>
      </w:pPr>
      <w:r>
        <w:t>W pierwszym kwartale 2025 roku polski rynek odnotował wyższą dynamikę RPKM niż w przypadku liczby pasażerów</w:t>
      </w:r>
      <w:r w:rsidR="00541467">
        <w:t xml:space="preserve"> </w:t>
      </w:r>
      <w:r w:rsidR="00887B28">
        <w:t>(</w:t>
      </w:r>
      <w:r w:rsidR="00541467">
        <w:t>o 4,3 punktu procentowego</w:t>
      </w:r>
      <w:r w:rsidR="00887B28">
        <w:t>)</w:t>
      </w:r>
      <w:r>
        <w:t xml:space="preserve">, głównie za sprawą wydłużenia średniej długości odcinka lotu o 75 </w:t>
      </w:r>
      <w:r w:rsidR="00541467">
        <w:t xml:space="preserve">km. Warto wskazać, że dynamika wzrostu RPKM </w:t>
      </w:r>
      <w:r>
        <w:t>była wyższa od wyników Europy i świata prezentowanych przez IATA</w:t>
      </w:r>
      <w:r w:rsidR="00541467">
        <w:t xml:space="preserve"> (odpowiednio o 10,6 i 10,8 punktu procentowego)</w:t>
      </w:r>
      <w:r>
        <w:t>. Podobnie było w przypadku oferowania mierzonego wskaźnikiem ASKM i LF, gdzie dynamika na polskim rynku w pierwszym kwartale 2025 roku była także wyższa od wyników notowanych na rynku europejskim i światowym (</w:t>
      </w:r>
      <w:r w:rsidR="00541467">
        <w:t>ASKM odpowiednio o 9,7 i 10,1 punktu procentowego, a LF 0,7 i 0,4 punktu procentowego</w:t>
      </w:r>
      <w:r>
        <w:t xml:space="preserve">). </w:t>
      </w:r>
    </w:p>
    <w:p w14:paraId="5BEC41CE" w14:textId="0764EFBE" w:rsidR="00744A54" w:rsidRPr="007D383E" w:rsidRDefault="00744A54" w:rsidP="00744A54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 pierwszym kwartale 2025 roku </w:t>
      </w:r>
      <w:r w:rsidRPr="007D383E">
        <w:rPr>
          <w:rFonts w:cstheme="minorHAnsi"/>
          <w:szCs w:val="24"/>
        </w:rPr>
        <w:t xml:space="preserve">doszło do nieznacznej zmiany udziałów przewoźników w rynku przewozów międzynarodowych ze względu na model biznesowy. </w:t>
      </w:r>
      <w:r w:rsidR="00541467">
        <w:rPr>
          <w:rFonts w:cstheme="minorHAnsi"/>
          <w:szCs w:val="24"/>
        </w:rPr>
        <w:t>U</w:t>
      </w:r>
      <w:r w:rsidRPr="007D383E">
        <w:rPr>
          <w:rFonts w:cstheme="minorHAnsi"/>
          <w:szCs w:val="24"/>
        </w:rPr>
        <w:t>dział przewoźników sieciowych w rynku w stosunku do</w:t>
      </w:r>
      <w:r>
        <w:rPr>
          <w:rFonts w:cstheme="minorHAnsi"/>
          <w:szCs w:val="24"/>
        </w:rPr>
        <w:t xml:space="preserve"> pierwszego kwartału 202</w:t>
      </w:r>
      <w:r w:rsidR="00541467"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roku pozostał na </w:t>
      </w:r>
      <w:r w:rsidR="00541467">
        <w:rPr>
          <w:rFonts w:cstheme="minorHAnsi"/>
          <w:szCs w:val="24"/>
        </w:rPr>
        <w:t>podobnym</w:t>
      </w:r>
      <w:r>
        <w:rPr>
          <w:rFonts w:cstheme="minorHAnsi"/>
          <w:szCs w:val="24"/>
        </w:rPr>
        <w:t xml:space="preserve"> poziomie</w:t>
      </w:r>
      <w:r w:rsidRPr="007D383E">
        <w:rPr>
          <w:rFonts w:cstheme="minorHAnsi"/>
          <w:szCs w:val="24"/>
        </w:rPr>
        <w:t xml:space="preserve">, udział przewoźników niskokosztowych </w:t>
      </w:r>
      <w:r>
        <w:rPr>
          <w:rFonts w:cstheme="minorHAnsi"/>
          <w:szCs w:val="24"/>
        </w:rPr>
        <w:t>spadł o 0,7</w:t>
      </w:r>
      <w:r w:rsidRPr="007D383E">
        <w:rPr>
          <w:rFonts w:cstheme="minorHAnsi"/>
          <w:szCs w:val="24"/>
        </w:rPr>
        <w:t xml:space="preserve"> </w:t>
      </w:r>
      <w:r w:rsidR="00541467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, a udział przewoźników czarterowych wzrósł o 0,</w:t>
      </w:r>
      <w:r w:rsidR="00541467">
        <w:rPr>
          <w:rFonts w:cstheme="minorHAnsi"/>
          <w:szCs w:val="24"/>
        </w:rPr>
        <w:t>6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punktu procentowego. </w:t>
      </w:r>
    </w:p>
    <w:p w14:paraId="6F88493C" w14:textId="4D07987D" w:rsidR="00FE33F3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pasażerów wśród przewoźników niskokosztowych w ruchu międzynarodowym </w:t>
      </w:r>
      <w:r>
        <w:rPr>
          <w:rFonts w:cstheme="minorHAnsi"/>
          <w:szCs w:val="24"/>
        </w:rPr>
        <w:t xml:space="preserve">obsłużyli </w:t>
      </w:r>
      <w:r w:rsidRPr="007D383E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Ryanair, Wizz Air i </w:t>
      </w:r>
      <w:r w:rsidR="00446501">
        <w:rPr>
          <w:rFonts w:cstheme="minorHAnsi"/>
          <w:szCs w:val="24"/>
        </w:rPr>
        <w:t>easyJet</w:t>
      </w:r>
      <w:r w:rsidRPr="007D383E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W przypadku przewoźników</w:t>
      </w:r>
      <w:r w:rsidRPr="007D383E">
        <w:rPr>
          <w:rFonts w:cstheme="minorHAnsi"/>
          <w:szCs w:val="24"/>
        </w:rPr>
        <w:t xml:space="preserve"> sieciowych </w:t>
      </w:r>
      <w:r>
        <w:rPr>
          <w:rFonts w:cstheme="minorHAnsi"/>
          <w:szCs w:val="24"/>
        </w:rPr>
        <w:t>byli to PLL </w:t>
      </w:r>
      <w:r w:rsidRPr="007D383E">
        <w:rPr>
          <w:rFonts w:cstheme="minorHAnsi"/>
          <w:szCs w:val="24"/>
        </w:rPr>
        <w:t>LOT, Lufthansa i KLM.</w:t>
      </w:r>
      <w:r>
        <w:rPr>
          <w:rFonts w:cstheme="minorHAnsi"/>
          <w:szCs w:val="24"/>
        </w:rPr>
        <w:t xml:space="preserve"> Najpopularniejszymi przewoźnikami czarterowymi okazali się Enter Air oraz Smartwings.</w:t>
      </w:r>
    </w:p>
    <w:p w14:paraId="5A6E7DD4" w14:textId="77777777" w:rsidR="00FE33F3" w:rsidRPr="007D383E" w:rsidRDefault="00FE33F3" w:rsidP="00FE33F3">
      <w:r w:rsidRPr="007D383E">
        <w:br w:type="page"/>
      </w:r>
    </w:p>
    <w:p w14:paraId="6F161F6B" w14:textId="0AA990C8" w:rsidR="00EF21A5" w:rsidRPr="007D383E" w:rsidRDefault="00EF21A5" w:rsidP="000E3ED4">
      <w:pPr>
        <w:pStyle w:val="Nagwek1"/>
      </w:pPr>
      <w:bookmarkStart w:id="5" w:name="_Toc200533889"/>
      <w:r w:rsidRPr="007D383E">
        <w:lastRenderedPageBreak/>
        <w:t>Przewozy pasażerskie</w:t>
      </w:r>
      <w:bookmarkEnd w:id="5"/>
    </w:p>
    <w:p w14:paraId="490B98E7" w14:textId="77777777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obsłużono </w:t>
      </w:r>
      <w:r>
        <w:rPr>
          <w:rFonts w:cstheme="minorHAnsi"/>
          <w:szCs w:val="24"/>
        </w:rPr>
        <w:t>12,3</w:t>
      </w:r>
      <w:r w:rsidRPr="007D383E">
        <w:rPr>
          <w:rFonts w:cstheme="minorHAnsi"/>
          <w:szCs w:val="24"/>
        </w:rPr>
        <w:t xml:space="preserve"> mln </w:t>
      </w:r>
      <w:r>
        <w:rPr>
          <w:rFonts w:cstheme="minorHAnsi"/>
          <w:szCs w:val="24"/>
        </w:rPr>
        <w:t>pasażerów, co dało wzrost o 11,8</w:t>
      </w:r>
      <w:r w:rsidRPr="007D383E">
        <w:rPr>
          <w:rFonts w:cstheme="minorHAnsi"/>
          <w:szCs w:val="24"/>
        </w:rPr>
        <w:t xml:space="preserve">% względem </w:t>
      </w:r>
      <w:r>
        <w:rPr>
          <w:rFonts w:cstheme="minorHAnsi"/>
          <w:szCs w:val="24"/>
        </w:rPr>
        <w:t>analogicznego kwartału 2024</w:t>
      </w:r>
      <w:r w:rsidRPr="007D383E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oraz 30,6% w odniesieniu do 2023 roku.</w:t>
      </w:r>
    </w:p>
    <w:p w14:paraId="5CF5A198" w14:textId="49678B7C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długość odcinka lotu </w:t>
      </w:r>
      <w:r>
        <w:rPr>
          <w:rFonts w:cstheme="minorHAnsi"/>
          <w:szCs w:val="24"/>
        </w:rPr>
        <w:t xml:space="preserve">zwiększyła się </w:t>
      </w:r>
      <w:r w:rsidRPr="007D383E">
        <w:rPr>
          <w:rFonts w:cstheme="minorHAnsi"/>
          <w:szCs w:val="24"/>
        </w:rPr>
        <w:t xml:space="preserve">o </w:t>
      </w:r>
      <w:r>
        <w:rPr>
          <w:rFonts w:cstheme="minorHAnsi"/>
          <w:szCs w:val="24"/>
        </w:rPr>
        <w:t>75</w:t>
      </w:r>
      <w:r w:rsidRPr="007D383E">
        <w:rPr>
          <w:rFonts w:cstheme="minorHAnsi"/>
          <w:szCs w:val="24"/>
        </w:rPr>
        <w:t xml:space="preserve"> km </w:t>
      </w:r>
      <w:r>
        <w:rPr>
          <w:rFonts w:cstheme="minorHAnsi"/>
          <w:szCs w:val="24"/>
        </w:rPr>
        <w:t>w porówn</w:t>
      </w:r>
      <w:r w:rsidR="00E3348D">
        <w:rPr>
          <w:rFonts w:cstheme="minorHAnsi"/>
          <w:szCs w:val="24"/>
        </w:rPr>
        <w:t>aniu do pierwszego kwartału 2024</w:t>
      </w:r>
      <w:r w:rsidRPr="007D383E">
        <w:rPr>
          <w:rFonts w:cstheme="minorHAnsi"/>
          <w:szCs w:val="24"/>
        </w:rPr>
        <w:t xml:space="preserve"> roku (</w:t>
      </w:r>
      <w:r>
        <w:rPr>
          <w:rFonts w:cstheme="minorHAnsi"/>
          <w:szCs w:val="24"/>
        </w:rPr>
        <w:t>+147 km do 2023</w:t>
      </w:r>
      <w:r w:rsidRPr="007D383E">
        <w:rPr>
          <w:rFonts w:cstheme="minorHAnsi"/>
          <w:szCs w:val="24"/>
        </w:rPr>
        <w:t xml:space="preserve"> roku)</w:t>
      </w:r>
      <w:r>
        <w:rPr>
          <w:rFonts w:cstheme="minorHAnsi"/>
          <w:szCs w:val="24"/>
        </w:rPr>
        <w:t xml:space="preserve">. Doszło także do wzrostu </w:t>
      </w:r>
      <w:r w:rsidRPr="007D383E">
        <w:rPr>
          <w:rFonts w:cstheme="minorHAnsi"/>
          <w:szCs w:val="24"/>
        </w:rPr>
        <w:t>oferowani</w:t>
      </w:r>
      <w:r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9,8%</w:t>
      </w:r>
      <w:r w:rsidRPr="007D383E">
        <w:rPr>
          <w:rFonts w:cstheme="minorHAnsi"/>
          <w:szCs w:val="24"/>
        </w:rPr>
        <w:t xml:space="preserve"> (+</w:t>
      </w:r>
      <w:r>
        <w:rPr>
          <w:rFonts w:cstheme="minorHAnsi"/>
          <w:szCs w:val="24"/>
        </w:rPr>
        <w:t>29,1</w:t>
      </w:r>
      <w:r w:rsidRPr="007D383E">
        <w:rPr>
          <w:rFonts w:cstheme="minorHAnsi"/>
          <w:szCs w:val="24"/>
        </w:rPr>
        <w:t xml:space="preserve">% </w:t>
      </w:r>
      <w:r w:rsidR="005118C8">
        <w:rPr>
          <w:rFonts w:cstheme="minorHAnsi"/>
          <w:szCs w:val="24"/>
        </w:rPr>
        <w:t xml:space="preserve">do </w:t>
      </w:r>
      <w:r>
        <w:rPr>
          <w:rFonts w:cstheme="minorHAnsi"/>
          <w:szCs w:val="24"/>
        </w:rPr>
        <w:t>analogicznego okresu 2023</w:t>
      </w:r>
      <w:r w:rsidRPr="007D383E">
        <w:rPr>
          <w:rFonts w:cstheme="minorHAnsi"/>
          <w:szCs w:val="24"/>
        </w:rPr>
        <w:t xml:space="preserve"> roku)</w:t>
      </w:r>
      <w:r>
        <w:rPr>
          <w:rFonts w:cstheme="minorHAnsi"/>
          <w:szCs w:val="24"/>
        </w:rPr>
        <w:t>.</w:t>
      </w:r>
    </w:p>
    <w:p w14:paraId="579D5AE1" w14:textId="4A6FE56C" w:rsidR="00527143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Współczynnik wypełnienia miejsc (SF) </w:t>
      </w:r>
      <w:r>
        <w:rPr>
          <w:rFonts w:cstheme="minorHAnsi"/>
          <w:szCs w:val="24"/>
        </w:rPr>
        <w:t>wyniósł 82</w:t>
      </w:r>
      <w:r w:rsidRPr="007D383E">
        <w:rPr>
          <w:rFonts w:cstheme="minorHAnsi"/>
          <w:szCs w:val="24"/>
        </w:rPr>
        <w:t>,</w:t>
      </w:r>
      <w:r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>%</w:t>
      </w:r>
      <w:r>
        <w:rPr>
          <w:rFonts w:cstheme="minorHAnsi"/>
          <w:szCs w:val="24"/>
        </w:rPr>
        <w:t xml:space="preserve">, odnotowując wynik </w:t>
      </w:r>
      <w:r w:rsidRPr="007D383E">
        <w:rPr>
          <w:rFonts w:cstheme="minorHAnsi"/>
          <w:szCs w:val="24"/>
        </w:rPr>
        <w:t xml:space="preserve">o </w:t>
      </w:r>
      <w:r>
        <w:rPr>
          <w:rFonts w:cstheme="minorHAnsi"/>
          <w:szCs w:val="24"/>
        </w:rPr>
        <w:t>1,5</w:t>
      </w:r>
      <w:r w:rsidRPr="007D383E">
        <w:rPr>
          <w:rFonts w:cstheme="minorHAnsi"/>
          <w:szCs w:val="24"/>
        </w:rPr>
        <w:t xml:space="preserve"> punktu procentowego</w:t>
      </w:r>
      <w:r>
        <w:rPr>
          <w:rFonts w:cstheme="minorHAnsi"/>
          <w:szCs w:val="24"/>
        </w:rPr>
        <w:t xml:space="preserve"> wyższy</w:t>
      </w:r>
      <w:r w:rsidRPr="007D383E">
        <w:rPr>
          <w:rFonts w:cstheme="minorHAnsi"/>
          <w:szCs w:val="24"/>
        </w:rPr>
        <w:t xml:space="preserve"> w porównaniu do </w:t>
      </w:r>
      <w:r>
        <w:rPr>
          <w:rFonts w:cstheme="minorHAnsi"/>
          <w:szCs w:val="24"/>
        </w:rPr>
        <w:t xml:space="preserve">pierwszego kwartału 2024 roku </w:t>
      </w:r>
      <w:r w:rsidRPr="007D383E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i jednocześnie wzrost</w:t>
      </w:r>
      <w:r w:rsidRPr="007D383E">
        <w:rPr>
          <w:rFonts w:cstheme="minorHAnsi"/>
          <w:szCs w:val="24"/>
        </w:rPr>
        <w:t xml:space="preserve"> o 0,</w:t>
      </w:r>
      <w:r>
        <w:rPr>
          <w:rFonts w:cstheme="minorHAnsi"/>
          <w:szCs w:val="24"/>
        </w:rPr>
        <w:t>9</w:t>
      </w:r>
      <w:r w:rsidRPr="007D383E">
        <w:rPr>
          <w:rFonts w:cstheme="minorHAnsi"/>
          <w:szCs w:val="24"/>
        </w:rPr>
        <w:t xml:space="preserve"> punktu procentowego </w:t>
      </w:r>
      <w:r>
        <w:rPr>
          <w:rFonts w:cstheme="minorHAnsi"/>
          <w:szCs w:val="24"/>
        </w:rPr>
        <w:t xml:space="preserve">odnosząc się </w:t>
      </w:r>
      <w:r w:rsidRPr="007D383E">
        <w:rPr>
          <w:rFonts w:cstheme="minorHAnsi"/>
          <w:szCs w:val="24"/>
        </w:rPr>
        <w:t xml:space="preserve">do </w:t>
      </w:r>
      <w:r>
        <w:rPr>
          <w:rFonts w:cstheme="minorHAnsi"/>
          <w:szCs w:val="24"/>
        </w:rPr>
        <w:t>pierwszego kwartału 2023</w:t>
      </w:r>
      <w:r w:rsidRPr="007D383E">
        <w:rPr>
          <w:rFonts w:cstheme="minorHAnsi"/>
          <w:szCs w:val="24"/>
        </w:rPr>
        <w:t xml:space="preserve"> roku). </w:t>
      </w:r>
      <w:r>
        <w:rPr>
          <w:rFonts w:cstheme="minorHAnsi"/>
          <w:szCs w:val="24"/>
        </w:rPr>
        <w:t>Z kolei w</w:t>
      </w:r>
      <w:r w:rsidRPr="007D383E">
        <w:rPr>
          <w:rFonts w:cstheme="minorHAnsi"/>
          <w:szCs w:val="24"/>
        </w:rPr>
        <w:t xml:space="preserve">spółczynnik LF wyniósł </w:t>
      </w:r>
      <w:r>
        <w:rPr>
          <w:rFonts w:cstheme="minorHAnsi"/>
          <w:szCs w:val="24"/>
        </w:rPr>
        <w:t>86,5% i wzrósł</w:t>
      </w:r>
      <w:r w:rsidRPr="007D383E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0,8 punktu procentowego w stosunku do pierwszego kwartału 2024</w:t>
      </w:r>
      <w:r w:rsidRPr="007D383E">
        <w:rPr>
          <w:rFonts w:cstheme="minorHAnsi"/>
          <w:szCs w:val="24"/>
        </w:rPr>
        <w:t xml:space="preserve"> roku </w:t>
      </w:r>
      <w:r>
        <w:rPr>
          <w:rFonts w:cstheme="minorHAnsi"/>
          <w:szCs w:val="24"/>
        </w:rPr>
        <w:t>(</w:t>
      </w:r>
      <w:r w:rsidR="00E3348D">
        <w:rPr>
          <w:rFonts w:cstheme="minorHAnsi"/>
          <w:szCs w:val="24"/>
        </w:rPr>
        <w:t>wzrost</w:t>
      </w:r>
      <w:r>
        <w:rPr>
          <w:rFonts w:cstheme="minorHAnsi"/>
          <w:szCs w:val="24"/>
        </w:rPr>
        <w:t xml:space="preserve"> o 1,3</w:t>
      </w:r>
      <w:r w:rsidRPr="007D383E">
        <w:rPr>
          <w:rFonts w:cstheme="minorHAnsi"/>
          <w:szCs w:val="24"/>
        </w:rPr>
        <w:t xml:space="preserve"> punktu procentowego </w:t>
      </w:r>
      <w:r>
        <w:rPr>
          <w:rFonts w:cstheme="minorHAnsi"/>
          <w:szCs w:val="24"/>
        </w:rPr>
        <w:t>względem tego samego okresu 2023</w:t>
      </w:r>
      <w:r w:rsidRPr="007D383E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.</w:t>
      </w:r>
    </w:p>
    <w:p w14:paraId="4AB45975" w14:textId="77777777" w:rsidR="00DA764F" w:rsidRPr="007D383E" w:rsidRDefault="00DA764F" w:rsidP="00DA764F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3AE1A460" wp14:editId="64B0FAF6">
            <wp:extent cx="4680000" cy="2340000"/>
            <wp:effectExtent l="0" t="0" r="6350" b="3175"/>
            <wp:docPr id="1" name="Wykres 1" descr="Wykres przedstawia łączną liczbę przewiezionych pasażerów w danym kwartale wraz z uwzględnieniem analogicznych okresów z poprzednich 2 lat. Dane przedstawione w Tabeli 3.1 poniżej." title="Wykres 3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D8B0AE" w14:textId="3EE6D0B9" w:rsidR="00527143" w:rsidRPr="007D383E" w:rsidRDefault="00DA764F" w:rsidP="00DA764F">
      <w:pPr>
        <w:pStyle w:val="Legenda"/>
        <w:rPr>
          <w:rFonts w:cstheme="minorHAnsi"/>
          <w:szCs w:val="24"/>
        </w:rPr>
      </w:pPr>
      <w:bookmarkStart w:id="6" w:name="_Toc20053491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(mln) – kwartał – wykres przedstawia łączną liczbę przewiezionych pasażerów w </w:t>
      </w:r>
      <w:r w:rsidR="00F23136">
        <w:rPr>
          <w:noProof/>
        </w:rPr>
        <w:t>pierwszym</w:t>
      </w:r>
      <w:r w:rsidRPr="007D383E">
        <w:rPr>
          <w:noProof/>
        </w:rPr>
        <w:t xml:space="preserve"> kwartale 202</w:t>
      </w:r>
      <w:r w:rsidR="00F23136">
        <w:rPr>
          <w:noProof/>
        </w:rPr>
        <w:t>5</w:t>
      </w:r>
      <w:r w:rsidRPr="007D383E">
        <w:rPr>
          <w:noProof/>
        </w:rPr>
        <w:t xml:space="preserve"> roku wraz z uwzględnieniem </w:t>
      </w:r>
      <w:r w:rsidR="00FB3390" w:rsidRPr="007D383E">
        <w:rPr>
          <w:noProof/>
        </w:rPr>
        <w:t>analogicznego okresu lat 202</w:t>
      </w:r>
      <w:r w:rsidR="00F23136">
        <w:rPr>
          <w:noProof/>
        </w:rPr>
        <w:t>4</w:t>
      </w:r>
      <w:r w:rsidR="00FB3390" w:rsidRPr="007D383E">
        <w:rPr>
          <w:noProof/>
        </w:rPr>
        <w:t xml:space="preserve"> i </w:t>
      </w:r>
      <w:r w:rsidR="00F23136">
        <w:rPr>
          <w:noProof/>
        </w:rPr>
        <w:t>2023</w:t>
      </w:r>
      <w:r w:rsidRPr="007D383E">
        <w:rPr>
          <w:noProof/>
        </w:rPr>
        <w:t>.</w:t>
      </w:r>
      <w:bookmarkEnd w:id="6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3.1 Liczba pasażerów (mln) - kwartał"/>
        <w:tblDescription w:val="Tabela przedstawia łączną liczbę przewiezionych pasażerów w danym kwartale wraz z uwzględnieniem analogicznych okresów z poprzednich 2 lat. "/>
      </w:tblPr>
      <w:tblGrid>
        <w:gridCol w:w="1200"/>
        <w:gridCol w:w="1980"/>
      </w:tblGrid>
      <w:tr w:rsidR="00527143" w:rsidRPr="007D383E" w14:paraId="50A5AE46" w14:textId="77777777" w:rsidTr="00FE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2AFEA827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0685A8B4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F23136" w:rsidRPr="007D383E" w14:paraId="3775A22B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F1B85B3" w14:textId="4F8ACFF5" w:rsidR="00F23136" w:rsidRPr="007D383E" w:rsidRDefault="00F23136" w:rsidP="00F23136">
            <w:pPr>
              <w:jc w:val="center"/>
            </w:pPr>
            <w:r>
              <w:t>2025</w:t>
            </w:r>
          </w:p>
        </w:tc>
        <w:tc>
          <w:tcPr>
            <w:tcW w:w="1980" w:type="dxa"/>
            <w:hideMark/>
          </w:tcPr>
          <w:p w14:paraId="5DE50ECC" w14:textId="210DFD37" w:rsidR="00F23136" w:rsidRPr="007D383E" w:rsidRDefault="00F23136" w:rsidP="00F23136">
            <w:pPr>
              <w:jc w:val="center"/>
            </w:pPr>
            <w:r w:rsidRPr="00A52CCC">
              <w:t>12 290 263</w:t>
            </w:r>
          </w:p>
        </w:tc>
      </w:tr>
      <w:tr w:rsidR="00F23136" w:rsidRPr="007D383E" w14:paraId="42765489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6DB2157" w14:textId="5E170973" w:rsidR="00F23136" w:rsidRPr="007D383E" w:rsidRDefault="00F23136" w:rsidP="00F23136">
            <w:pPr>
              <w:jc w:val="center"/>
            </w:pPr>
            <w:r>
              <w:t>2024</w:t>
            </w:r>
          </w:p>
        </w:tc>
        <w:tc>
          <w:tcPr>
            <w:tcW w:w="1980" w:type="dxa"/>
            <w:hideMark/>
          </w:tcPr>
          <w:p w14:paraId="0F9AD8A8" w14:textId="18AEE765" w:rsidR="00F23136" w:rsidRPr="007D383E" w:rsidRDefault="00F23136" w:rsidP="00F23136">
            <w:pPr>
              <w:jc w:val="center"/>
            </w:pPr>
            <w:r w:rsidRPr="00A52CCC">
              <w:t>10 992 439</w:t>
            </w:r>
          </w:p>
        </w:tc>
      </w:tr>
      <w:tr w:rsidR="00F23136" w:rsidRPr="007D383E" w14:paraId="73FBEB64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5095EBC1" w14:textId="2E3AE583" w:rsidR="00F23136" w:rsidRPr="007D383E" w:rsidRDefault="00F23136" w:rsidP="00F23136">
            <w:pPr>
              <w:jc w:val="center"/>
            </w:pPr>
            <w:r>
              <w:t>2023</w:t>
            </w:r>
          </w:p>
        </w:tc>
        <w:tc>
          <w:tcPr>
            <w:tcW w:w="1980" w:type="dxa"/>
            <w:hideMark/>
          </w:tcPr>
          <w:p w14:paraId="228218BE" w14:textId="70E67F63" w:rsidR="00F23136" w:rsidRPr="007D383E" w:rsidRDefault="00F23136" w:rsidP="00F23136">
            <w:pPr>
              <w:jc w:val="center"/>
            </w:pPr>
            <w:r w:rsidRPr="00A52CCC">
              <w:t>9 413 831</w:t>
            </w:r>
          </w:p>
        </w:tc>
      </w:tr>
    </w:tbl>
    <w:p w14:paraId="22824847" w14:textId="4BC23AFC" w:rsidR="00FE33F3" w:rsidRPr="007D383E" w:rsidRDefault="00FE33F3" w:rsidP="0089169E">
      <w:pPr>
        <w:pStyle w:val="Legenda"/>
        <w:spacing w:after="2040"/>
      </w:pPr>
      <w:bookmarkStart w:id="7" w:name="_Toc20053852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A32D8B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7"/>
    </w:p>
    <w:p w14:paraId="099981F3" w14:textId="4A15F159" w:rsidR="00EF21A5" w:rsidRPr="007D383E" w:rsidRDefault="00EF21A5" w:rsidP="005A6434">
      <w:pPr>
        <w:pStyle w:val="Nagwek1"/>
      </w:pPr>
      <w:bookmarkStart w:id="8" w:name="_Toc200533890"/>
      <w:r w:rsidRPr="007D383E">
        <w:lastRenderedPageBreak/>
        <w:t>Operacje lotnicze</w:t>
      </w:r>
      <w:bookmarkEnd w:id="8"/>
    </w:p>
    <w:p w14:paraId="0BD3FC9C" w14:textId="099CFE65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Liczba operacji pasażerskich w </w:t>
      </w:r>
      <w:r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</w:t>
      </w:r>
      <w:r>
        <w:rPr>
          <w:rFonts w:cstheme="minorHAnsi"/>
          <w:szCs w:val="24"/>
        </w:rPr>
        <w:t>artale 2025</w:t>
      </w:r>
      <w:r w:rsidRPr="007D383E">
        <w:rPr>
          <w:rFonts w:cstheme="minorHAnsi"/>
          <w:szCs w:val="24"/>
        </w:rPr>
        <w:t xml:space="preserve"> roku wyniosła </w:t>
      </w:r>
      <w:r w:rsidR="005118C8">
        <w:rPr>
          <w:rFonts w:cstheme="minorHAnsi"/>
          <w:szCs w:val="24"/>
        </w:rPr>
        <w:t>91,9</w:t>
      </w:r>
      <w:r>
        <w:rPr>
          <w:rFonts w:cstheme="minorHAnsi"/>
          <w:szCs w:val="24"/>
        </w:rPr>
        <w:t xml:space="preserve"> tys. i wzrosła o 8,2</w:t>
      </w:r>
      <w:r w:rsidRPr="007D383E">
        <w:rPr>
          <w:rFonts w:cstheme="minorHAnsi"/>
          <w:szCs w:val="24"/>
        </w:rPr>
        <w:t>% w porównaniu do</w:t>
      </w:r>
      <w:r>
        <w:rPr>
          <w:rFonts w:cstheme="minorHAnsi"/>
          <w:szCs w:val="24"/>
        </w:rPr>
        <w:t xml:space="preserve"> analogicznego okresu 2024</w:t>
      </w:r>
      <w:r w:rsidRPr="007D383E">
        <w:rPr>
          <w:rFonts w:cstheme="minorHAnsi"/>
          <w:szCs w:val="24"/>
        </w:rPr>
        <w:t xml:space="preserve"> roku</w:t>
      </w:r>
      <w:r w:rsidR="005118C8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+25,2% względem</w:t>
      </w:r>
      <w:r w:rsidR="000B7D3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2023</w:t>
      </w:r>
      <w:r w:rsidRPr="007D383E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.</w:t>
      </w:r>
    </w:p>
    <w:p w14:paraId="5E8EAFF5" w14:textId="2708FEF6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Średnia liczba pasażerów na operację lotniczą</w:t>
      </w:r>
      <w:r>
        <w:rPr>
          <w:rFonts w:cstheme="minorHAnsi"/>
          <w:szCs w:val="24"/>
        </w:rPr>
        <w:t xml:space="preserve"> w pierwszym kwartale</w:t>
      </w:r>
      <w:r w:rsidRPr="007D383E">
        <w:rPr>
          <w:rFonts w:cstheme="minorHAnsi"/>
          <w:szCs w:val="24"/>
        </w:rPr>
        <w:t xml:space="preserve"> wyniosła </w:t>
      </w:r>
      <w:r>
        <w:rPr>
          <w:rFonts w:cstheme="minorHAnsi"/>
          <w:szCs w:val="24"/>
        </w:rPr>
        <w:t>135. Wzrosła odpowiednio o 4 i </w:t>
      </w:r>
      <w:r w:rsidR="005118C8">
        <w:rPr>
          <w:rFonts w:cstheme="minorHAnsi"/>
          <w:szCs w:val="24"/>
        </w:rPr>
        <w:t>6</w:t>
      </w:r>
      <w:r w:rsidRPr="007D383E">
        <w:rPr>
          <w:rFonts w:cstheme="minorHAnsi"/>
          <w:szCs w:val="24"/>
        </w:rPr>
        <w:t> pasażerów w stosunku do analogiczn</w:t>
      </w:r>
      <w:r>
        <w:rPr>
          <w:rFonts w:cstheme="minorHAnsi"/>
          <w:szCs w:val="24"/>
        </w:rPr>
        <w:t>ych okresów 2024 i 2023</w:t>
      </w:r>
      <w:r w:rsidRPr="007D383E">
        <w:rPr>
          <w:rFonts w:cstheme="minorHAnsi"/>
          <w:szCs w:val="24"/>
        </w:rPr>
        <w:t xml:space="preserve"> roku. W przypadku przewoźników sieciowych zmian</w:t>
      </w:r>
      <w:r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tej wartości wynosił</w:t>
      </w:r>
      <w:r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+</w:t>
      </w:r>
      <w:r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pasażer</w:t>
      </w:r>
      <w:r>
        <w:rPr>
          <w:rFonts w:cstheme="minorHAnsi"/>
          <w:szCs w:val="24"/>
        </w:rPr>
        <w:t>ów</w:t>
      </w:r>
      <w:r w:rsidRPr="007D383E">
        <w:rPr>
          <w:rFonts w:cstheme="minorHAnsi"/>
          <w:szCs w:val="24"/>
        </w:rPr>
        <w:t xml:space="preserve"> w stosunku do</w:t>
      </w:r>
      <w:r>
        <w:rPr>
          <w:rFonts w:cstheme="minorHAnsi"/>
          <w:szCs w:val="24"/>
        </w:rPr>
        <w:t xml:space="preserve"> pierwszego kwartału 2024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roku (+4</w:t>
      </w:r>
      <w:r w:rsidRPr="007D383E">
        <w:rPr>
          <w:rFonts w:cstheme="minorHAnsi"/>
          <w:szCs w:val="24"/>
        </w:rPr>
        <w:t xml:space="preserve"> pasażerów </w:t>
      </w:r>
      <w:r>
        <w:rPr>
          <w:rFonts w:cstheme="minorHAnsi"/>
          <w:szCs w:val="24"/>
        </w:rPr>
        <w:t>w 2023</w:t>
      </w:r>
      <w:r w:rsidRPr="007D383E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. Dla przewoźników niskokosz</w:t>
      </w:r>
      <w:r>
        <w:rPr>
          <w:rFonts w:cstheme="minorHAnsi"/>
          <w:szCs w:val="24"/>
        </w:rPr>
        <w:t>towych było to odpowiednio więcej o 7 i 6 pasażerów, a</w:t>
      </w:r>
      <w:r w:rsidR="003D1A14">
        <w:rPr>
          <w:rFonts w:cstheme="minorHAnsi"/>
          <w:szCs w:val="24"/>
        </w:rPr>
        <w:t xml:space="preserve"> dla przewoźników</w:t>
      </w:r>
      <w:r>
        <w:rPr>
          <w:rFonts w:cstheme="minorHAnsi"/>
          <w:szCs w:val="24"/>
        </w:rPr>
        <w:t xml:space="preserve"> czarterowych było to o 2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pasażerów więcej </w:t>
      </w:r>
      <w:r w:rsidRPr="007D383E">
        <w:rPr>
          <w:rFonts w:cstheme="minorHAnsi"/>
          <w:szCs w:val="24"/>
        </w:rPr>
        <w:t xml:space="preserve">wobec </w:t>
      </w:r>
      <w:r>
        <w:rPr>
          <w:rFonts w:cstheme="minorHAnsi"/>
          <w:szCs w:val="24"/>
        </w:rPr>
        <w:t>pierwszego kwartału 2024</w:t>
      </w:r>
      <w:r w:rsidRPr="007D383E">
        <w:rPr>
          <w:rFonts w:cstheme="minorHAnsi"/>
          <w:szCs w:val="24"/>
        </w:rPr>
        <w:t xml:space="preserve"> roku</w:t>
      </w:r>
      <w:r w:rsidR="005118C8">
        <w:rPr>
          <w:rFonts w:cstheme="minorHAnsi"/>
          <w:szCs w:val="24"/>
        </w:rPr>
        <w:t xml:space="preserve"> (względem pierwszego kwartału </w:t>
      </w:r>
      <w:r>
        <w:rPr>
          <w:rFonts w:cstheme="minorHAnsi"/>
          <w:szCs w:val="24"/>
        </w:rPr>
        <w:t xml:space="preserve">2023 roku liczba ta nie uległa zmianie). </w:t>
      </w:r>
    </w:p>
    <w:p w14:paraId="6015D1D0" w14:textId="14E78D77" w:rsidR="00527143" w:rsidRPr="007D383E" w:rsidRDefault="000932A9" w:rsidP="00744A54">
      <w:pPr>
        <w:rPr>
          <w:rFonts w:cstheme="minorHAnsi"/>
          <w:szCs w:val="24"/>
        </w:rPr>
      </w:pPr>
      <w:r>
        <w:rPr>
          <w:rFonts w:cstheme="minorHAnsi"/>
          <w:szCs w:val="24"/>
        </w:rPr>
        <w:t>D</w:t>
      </w:r>
      <w:r w:rsidR="00744A54" w:rsidRPr="007D383E">
        <w:rPr>
          <w:rFonts w:cstheme="minorHAnsi"/>
          <w:szCs w:val="24"/>
        </w:rPr>
        <w:t xml:space="preserve">ynamiki liczby operacji dla poszczególnych miesięcy </w:t>
      </w:r>
      <w:r w:rsidR="00744A54">
        <w:rPr>
          <w:rFonts w:cstheme="minorHAnsi"/>
          <w:szCs w:val="24"/>
        </w:rPr>
        <w:t xml:space="preserve">pierwszego kwartału względem </w:t>
      </w:r>
      <w:r>
        <w:rPr>
          <w:rFonts w:cstheme="minorHAnsi"/>
          <w:szCs w:val="24"/>
        </w:rPr>
        <w:t xml:space="preserve">analogicznych miesięcy </w:t>
      </w:r>
      <w:r w:rsidR="00744A54">
        <w:rPr>
          <w:rFonts w:cstheme="minorHAnsi"/>
          <w:szCs w:val="24"/>
        </w:rPr>
        <w:t>2024</w:t>
      </w:r>
      <w:r w:rsidR="00744A54" w:rsidRPr="007D383E">
        <w:rPr>
          <w:rFonts w:cstheme="minorHAnsi"/>
          <w:szCs w:val="24"/>
        </w:rPr>
        <w:t xml:space="preserve"> </w:t>
      </w:r>
      <w:r w:rsidR="000509B8">
        <w:rPr>
          <w:rFonts w:cstheme="minorHAnsi"/>
          <w:szCs w:val="24"/>
        </w:rPr>
        <w:t xml:space="preserve">roku </w:t>
      </w:r>
      <w:r w:rsidR="00744A54" w:rsidRPr="007D383E">
        <w:rPr>
          <w:rFonts w:cstheme="minorHAnsi"/>
          <w:szCs w:val="24"/>
        </w:rPr>
        <w:t xml:space="preserve">przedstawiają się następująco: </w:t>
      </w:r>
      <w:r w:rsidR="000509B8">
        <w:rPr>
          <w:rFonts w:cstheme="minorHAnsi"/>
          <w:szCs w:val="24"/>
        </w:rPr>
        <w:t>styczeń – +7</w:t>
      </w:r>
      <w:r w:rsidR="00744A54" w:rsidRPr="007D383E">
        <w:rPr>
          <w:rFonts w:cstheme="minorHAnsi"/>
          <w:szCs w:val="24"/>
        </w:rPr>
        <w:t xml:space="preserve">%, </w:t>
      </w:r>
      <w:r w:rsidR="00744A54">
        <w:rPr>
          <w:rFonts w:cstheme="minorHAnsi"/>
          <w:szCs w:val="24"/>
        </w:rPr>
        <w:t>luty</w:t>
      </w:r>
      <w:r w:rsidR="00744A54" w:rsidRPr="007D383E">
        <w:rPr>
          <w:rFonts w:cstheme="minorHAnsi"/>
          <w:szCs w:val="24"/>
        </w:rPr>
        <w:t xml:space="preserve"> – </w:t>
      </w:r>
      <w:r w:rsidR="000509B8">
        <w:rPr>
          <w:rFonts w:cstheme="minorHAnsi"/>
          <w:szCs w:val="24"/>
        </w:rPr>
        <w:t>+</w:t>
      </w:r>
      <w:r w:rsidR="00744A54">
        <w:rPr>
          <w:rFonts w:cstheme="minorHAnsi"/>
          <w:szCs w:val="24"/>
        </w:rPr>
        <w:t>7,9</w:t>
      </w:r>
      <w:r w:rsidR="00744A54" w:rsidRPr="007D383E">
        <w:rPr>
          <w:rFonts w:cstheme="minorHAnsi"/>
          <w:szCs w:val="24"/>
        </w:rPr>
        <w:t xml:space="preserve">%, </w:t>
      </w:r>
      <w:r w:rsidR="00744A54">
        <w:rPr>
          <w:rFonts w:cstheme="minorHAnsi"/>
          <w:szCs w:val="24"/>
        </w:rPr>
        <w:t>marzec</w:t>
      </w:r>
      <w:r w:rsidR="00744A54" w:rsidRPr="007D383E">
        <w:rPr>
          <w:rFonts w:cstheme="minorHAnsi"/>
          <w:szCs w:val="24"/>
        </w:rPr>
        <w:t xml:space="preserve"> – </w:t>
      </w:r>
      <w:r w:rsidR="000509B8">
        <w:rPr>
          <w:rFonts w:cstheme="minorHAnsi"/>
          <w:szCs w:val="24"/>
        </w:rPr>
        <w:t>+</w:t>
      </w:r>
      <w:r w:rsidR="00744A54">
        <w:rPr>
          <w:rFonts w:cstheme="minorHAnsi"/>
          <w:szCs w:val="24"/>
        </w:rPr>
        <w:t>9</w:t>
      </w:r>
      <w:r w:rsidR="000509B8">
        <w:rPr>
          <w:rFonts w:cstheme="minorHAnsi"/>
          <w:szCs w:val="24"/>
        </w:rPr>
        <w:t>,6</w:t>
      </w:r>
      <w:r w:rsidR="00744A54" w:rsidRPr="007D383E">
        <w:rPr>
          <w:rFonts w:cstheme="minorHAnsi"/>
          <w:szCs w:val="24"/>
        </w:rPr>
        <w:t>%. D</w:t>
      </w:r>
      <w:r w:rsidR="00744A54">
        <w:rPr>
          <w:rFonts w:cstheme="minorHAnsi"/>
          <w:szCs w:val="24"/>
        </w:rPr>
        <w:t>la przewoźników sieciowych będą to wzrosty o wartości: 10,1</w:t>
      </w:r>
      <w:r w:rsidR="00744A54" w:rsidRPr="007D383E">
        <w:rPr>
          <w:rFonts w:cstheme="minorHAnsi"/>
          <w:szCs w:val="24"/>
        </w:rPr>
        <w:t xml:space="preserve">%, </w:t>
      </w:r>
      <w:r w:rsidR="00744A54">
        <w:rPr>
          <w:rFonts w:cstheme="minorHAnsi"/>
          <w:szCs w:val="24"/>
        </w:rPr>
        <w:t>3,8</w:t>
      </w:r>
      <w:r w:rsidR="00744A54" w:rsidRPr="007D383E">
        <w:rPr>
          <w:rFonts w:cstheme="minorHAnsi"/>
          <w:szCs w:val="24"/>
        </w:rPr>
        <w:t xml:space="preserve">%, </w:t>
      </w:r>
      <w:r w:rsidR="00744A54">
        <w:rPr>
          <w:rFonts w:cstheme="minorHAnsi"/>
          <w:szCs w:val="24"/>
        </w:rPr>
        <w:t>11,3</w:t>
      </w:r>
      <w:r w:rsidR="00744A54" w:rsidRPr="007D383E">
        <w:rPr>
          <w:rFonts w:cstheme="minorHAnsi"/>
          <w:szCs w:val="24"/>
        </w:rPr>
        <w:t xml:space="preserve">%. Dla przewoźników niskokosztowych: </w:t>
      </w:r>
      <w:r w:rsidR="00744A54">
        <w:rPr>
          <w:rFonts w:cstheme="minorHAnsi"/>
          <w:szCs w:val="24"/>
        </w:rPr>
        <w:t>1</w:t>
      </w:r>
      <w:r w:rsidR="00744A54" w:rsidRPr="007D383E">
        <w:rPr>
          <w:rFonts w:cstheme="minorHAnsi"/>
          <w:szCs w:val="24"/>
        </w:rPr>
        <w:t>,</w:t>
      </w:r>
      <w:r w:rsidR="00744A54">
        <w:rPr>
          <w:rFonts w:cstheme="minorHAnsi"/>
          <w:szCs w:val="24"/>
        </w:rPr>
        <w:t>5%,</w:t>
      </w:r>
      <w:r w:rsidR="000B7D34">
        <w:rPr>
          <w:rFonts w:cstheme="minorHAnsi"/>
          <w:szCs w:val="24"/>
        </w:rPr>
        <w:t xml:space="preserve"> </w:t>
      </w:r>
      <w:r w:rsidR="000509B8">
        <w:rPr>
          <w:rFonts w:cstheme="minorHAnsi"/>
          <w:szCs w:val="24"/>
        </w:rPr>
        <w:t>11,5</w:t>
      </w:r>
      <w:r w:rsidR="00744A54" w:rsidRPr="007D383E">
        <w:rPr>
          <w:rFonts w:cstheme="minorHAnsi"/>
          <w:szCs w:val="24"/>
        </w:rPr>
        <w:t xml:space="preserve">%, </w:t>
      </w:r>
      <w:r w:rsidR="00744A54">
        <w:rPr>
          <w:rFonts w:cstheme="minorHAnsi"/>
          <w:szCs w:val="24"/>
        </w:rPr>
        <w:t>7,1%, a dla</w:t>
      </w:r>
      <w:r w:rsidR="00744A54" w:rsidRPr="007D383E">
        <w:rPr>
          <w:rFonts w:cstheme="minorHAnsi"/>
          <w:szCs w:val="24"/>
        </w:rPr>
        <w:t xml:space="preserve"> przewoźników czarterowych: </w:t>
      </w:r>
      <w:r w:rsidR="00744A54">
        <w:rPr>
          <w:rFonts w:cstheme="minorHAnsi"/>
          <w:szCs w:val="24"/>
        </w:rPr>
        <w:t>26,5</w:t>
      </w:r>
      <w:r w:rsidR="00744A54" w:rsidRPr="007D383E">
        <w:rPr>
          <w:rFonts w:cstheme="minorHAnsi"/>
          <w:szCs w:val="24"/>
        </w:rPr>
        <w:t xml:space="preserve">%, </w:t>
      </w:r>
      <w:r w:rsidR="00744A54">
        <w:rPr>
          <w:rFonts w:cstheme="minorHAnsi"/>
          <w:szCs w:val="24"/>
        </w:rPr>
        <w:t>20,9% oraz</w:t>
      </w:r>
      <w:r w:rsidR="00744A54" w:rsidRPr="007D383E">
        <w:rPr>
          <w:rFonts w:cstheme="minorHAnsi"/>
          <w:szCs w:val="24"/>
        </w:rPr>
        <w:t xml:space="preserve"> </w:t>
      </w:r>
      <w:r w:rsidR="00744A54">
        <w:rPr>
          <w:rFonts w:cstheme="minorHAnsi"/>
          <w:szCs w:val="24"/>
        </w:rPr>
        <w:t>15,7</w:t>
      </w:r>
      <w:r w:rsidR="00744A54" w:rsidRPr="007D383E">
        <w:rPr>
          <w:rFonts w:cstheme="minorHAnsi"/>
          <w:szCs w:val="24"/>
        </w:rPr>
        <w:t xml:space="preserve">%. </w:t>
      </w:r>
    </w:p>
    <w:p w14:paraId="401F04E9" w14:textId="77777777" w:rsidR="00274935" w:rsidRPr="007D383E" w:rsidRDefault="00274935" w:rsidP="0027493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E52331E" wp14:editId="7498A959">
            <wp:extent cx="4680000" cy="2340000"/>
            <wp:effectExtent l="0" t="0" r="6350" b="3175"/>
            <wp:docPr id="43" name="Wykres 43" descr="Wykres przedstawia łączną liczbę wykonanych operacji w danym kwartale wraz z uwzględnieniem analogicznych okresów z 2 poprzednich lat. Dane przedstawione w Tabeli 4.1 poniżej." title="Wykres 4.1 Liczba operacji (tys.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0C2B27" w14:textId="63570E33" w:rsidR="00274935" w:rsidRPr="007D383E" w:rsidRDefault="00274935" w:rsidP="00274935">
      <w:pPr>
        <w:pStyle w:val="Legenda"/>
        <w:rPr>
          <w:rFonts w:cstheme="minorHAnsi"/>
          <w:szCs w:val="24"/>
        </w:rPr>
      </w:pPr>
      <w:bookmarkStart w:id="9" w:name="_Toc20053492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4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operacji (tys.) – kwartał – wykres przedstawia łącz</w:t>
      </w:r>
      <w:r w:rsidR="00C3244C" w:rsidRPr="007D383E">
        <w:rPr>
          <w:noProof/>
        </w:rPr>
        <w:t>ną liczbę wykonanych operacji w </w:t>
      </w:r>
      <w:r w:rsidR="00F23136">
        <w:rPr>
          <w:noProof/>
        </w:rPr>
        <w:t>pierwszym</w:t>
      </w:r>
      <w:r w:rsidR="007A7454" w:rsidRPr="007D383E">
        <w:rPr>
          <w:noProof/>
        </w:rPr>
        <w:t xml:space="preserve"> kwartale 202</w:t>
      </w:r>
      <w:r w:rsidR="00F23136">
        <w:rPr>
          <w:noProof/>
        </w:rPr>
        <w:t>5</w:t>
      </w:r>
      <w:r w:rsidRPr="007D383E">
        <w:rPr>
          <w:noProof/>
        </w:rPr>
        <w:t xml:space="preserve"> roku wraz z uwzględnieniem analogicznego okresu lat </w:t>
      </w:r>
      <w:r w:rsidR="007A7454" w:rsidRPr="007D383E">
        <w:rPr>
          <w:noProof/>
        </w:rPr>
        <w:t>202</w:t>
      </w:r>
      <w:r w:rsidR="00F23136">
        <w:rPr>
          <w:noProof/>
        </w:rPr>
        <w:t>4 i 2023</w:t>
      </w:r>
      <w:r w:rsidRPr="007D383E">
        <w:rPr>
          <w:noProof/>
        </w:rPr>
        <w:t>.</w:t>
      </w:r>
      <w:bookmarkEnd w:id="9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4.1 Liczba operacji (tys.) - kwartał"/>
        <w:tblDescription w:val="Tabela przedstawia łączną liczbę wykonanych operacji w danym kwartale wraz z uwzględnieniem analogicznych okresów z 2 poprzednich lat."/>
      </w:tblPr>
      <w:tblGrid>
        <w:gridCol w:w="1200"/>
        <w:gridCol w:w="1980"/>
      </w:tblGrid>
      <w:tr w:rsidR="00527143" w:rsidRPr="007D383E" w14:paraId="7AAF7D64" w14:textId="77777777" w:rsidTr="00041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4AE015BD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11AED1B3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F23136" w:rsidRPr="007D383E" w14:paraId="40895FA0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96A5C77" w14:textId="0CD60D3E" w:rsidR="00F23136" w:rsidRPr="007D383E" w:rsidRDefault="00F23136" w:rsidP="00F23136">
            <w:pPr>
              <w:jc w:val="center"/>
            </w:pPr>
            <w:r>
              <w:t>2025</w:t>
            </w:r>
          </w:p>
        </w:tc>
        <w:tc>
          <w:tcPr>
            <w:tcW w:w="1980" w:type="dxa"/>
            <w:hideMark/>
          </w:tcPr>
          <w:p w14:paraId="406A13E0" w14:textId="7DF85043" w:rsidR="00F23136" w:rsidRPr="007D383E" w:rsidRDefault="00F23136" w:rsidP="00F23136">
            <w:pPr>
              <w:jc w:val="center"/>
            </w:pPr>
            <w:r w:rsidRPr="005B43B6">
              <w:t>91 931</w:t>
            </w:r>
          </w:p>
        </w:tc>
      </w:tr>
      <w:tr w:rsidR="00F23136" w:rsidRPr="007D383E" w14:paraId="06C7E2F9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1266280" w14:textId="3E467E23" w:rsidR="00F23136" w:rsidRPr="007D383E" w:rsidRDefault="00F23136" w:rsidP="00F23136">
            <w:pPr>
              <w:jc w:val="center"/>
            </w:pPr>
            <w:r>
              <w:t>2024</w:t>
            </w:r>
          </w:p>
        </w:tc>
        <w:tc>
          <w:tcPr>
            <w:tcW w:w="1980" w:type="dxa"/>
            <w:hideMark/>
          </w:tcPr>
          <w:p w14:paraId="689DBF7C" w14:textId="45EC9BBC" w:rsidR="00F23136" w:rsidRPr="007D383E" w:rsidRDefault="00F23136" w:rsidP="00F23136">
            <w:pPr>
              <w:jc w:val="center"/>
            </w:pPr>
            <w:r w:rsidRPr="005B43B6">
              <w:t>84 975</w:t>
            </w:r>
          </w:p>
        </w:tc>
      </w:tr>
      <w:tr w:rsidR="00F23136" w:rsidRPr="007D383E" w14:paraId="261E1B44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D5B25A7" w14:textId="28567BB7" w:rsidR="00F23136" w:rsidRPr="007D383E" w:rsidRDefault="00F23136" w:rsidP="00F23136">
            <w:pPr>
              <w:jc w:val="center"/>
            </w:pPr>
            <w:r>
              <w:t>2023</w:t>
            </w:r>
          </w:p>
        </w:tc>
        <w:tc>
          <w:tcPr>
            <w:tcW w:w="1980" w:type="dxa"/>
            <w:hideMark/>
          </w:tcPr>
          <w:p w14:paraId="6CC03E2C" w14:textId="475D308E" w:rsidR="00F23136" w:rsidRPr="007D383E" w:rsidRDefault="00F23136" w:rsidP="00F23136">
            <w:pPr>
              <w:jc w:val="center"/>
            </w:pPr>
            <w:r w:rsidRPr="005B43B6">
              <w:t>73 403</w:t>
            </w:r>
          </w:p>
        </w:tc>
      </w:tr>
    </w:tbl>
    <w:p w14:paraId="6C08CE27" w14:textId="70AC8758" w:rsidR="0004158D" w:rsidRPr="007D383E" w:rsidRDefault="0004158D" w:rsidP="0089169E">
      <w:pPr>
        <w:pStyle w:val="Legenda"/>
        <w:spacing w:after="1320"/>
      </w:pPr>
      <w:bookmarkStart w:id="10" w:name="_Toc200538526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4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operacji</w:t>
      </w:r>
      <w:r w:rsidR="00A32D8B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10"/>
    </w:p>
    <w:p w14:paraId="06DC21F5" w14:textId="0CC0DC60" w:rsidR="00EF21A5" w:rsidRPr="007D383E" w:rsidRDefault="00EF21A5" w:rsidP="005A6434">
      <w:pPr>
        <w:pStyle w:val="Nagwek1"/>
      </w:pPr>
      <w:bookmarkStart w:id="11" w:name="_Toc200533891"/>
      <w:r w:rsidRPr="007D383E">
        <w:lastRenderedPageBreak/>
        <w:t>Przewozy cargo</w:t>
      </w:r>
      <w:bookmarkEnd w:id="11"/>
    </w:p>
    <w:p w14:paraId="5D0B5877" w14:textId="418A33D6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przewieziono </w:t>
      </w:r>
      <w:r w:rsidR="000509B8">
        <w:rPr>
          <w:rFonts w:cstheme="minorHAnsi"/>
          <w:szCs w:val="24"/>
        </w:rPr>
        <w:t>blisko 51</w:t>
      </w:r>
      <w:r w:rsidRPr="007D383E">
        <w:rPr>
          <w:rFonts w:cstheme="minorHAnsi"/>
          <w:szCs w:val="24"/>
        </w:rPr>
        <w:t xml:space="preserve"> tys.</w:t>
      </w:r>
      <w:r>
        <w:rPr>
          <w:rFonts w:cstheme="minorHAnsi"/>
          <w:szCs w:val="24"/>
        </w:rPr>
        <w:t xml:space="preserve"> to</w:t>
      </w:r>
      <w:r w:rsidR="000509B8">
        <w:rPr>
          <w:rFonts w:cstheme="minorHAnsi"/>
          <w:szCs w:val="24"/>
        </w:rPr>
        <w:t>n cargo „on board”, a więc o 8,4</w:t>
      </w:r>
      <w:r w:rsidRPr="007D383E">
        <w:rPr>
          <w:rFonts w:cstheme="minorHAnsi"/>
          <w:szCs w:val="24"/>
        </w:rPr>
        <w:t xml:space="preserve">% </w:t>
      </w:r>
      <w:r>
        <w:rPr>
          <w:rFonts w:cstheme="minorHAnsi"/>
          <w:szCs w:val="24"/>
        </w:rPr>
        <w:t>więcej</w:t>
      </w:r>
      <w:r w:rsidRPr="007D383E">
        <w:rPr>
          <w:rFonts w:cstheme="minorHAnsi"/>
          <w:szCs w:val="24"/>
        </w:rPr>
        <w:t xml:space="preserve"> niż w</w:t>
      </w:r>
      <w:r>
        <w:rPr>
          <w:rFonts w:cstheme="minorHAnsi"/>
          <w:szCs w:val="24"/>
        </w:rPr>
        <w:t xml:space="preserve"> pierwszym</w:t>
      </w:r>
      <w:r w:rsidRPr="007D383E">
        <w:rPr>
          <w:rFonts w:cstheme="minorHAnsi"/>
          <w:szCs w:val="24"/>
        </w:rPr>
        <w:t xml:space="preserve"> kw</w:t>
      </w:r>
      <w:r>
        <w:rPr>
          <w:rFonts w:cstheme="minorHAnsi"/>
          <w:szCs w:val="24"/>
        </w:rPr>
        <w:t>artale 2024 roku oraz</w:t>
      </w:r>
      <w:r w:rsidRPr="007D383E">
        <w:rPr>
          <w:rFonts w:cstheme="minorHAnsi"/>
          <w:szCs w:val="24"/>
        </w:rPr>
        <w:t xml:space="preserve"> o </w:t>
      </w:r>
      <w:r w:rsidR="000509B8">
        <w:rPr>
          <w:rFonts w:cstheme="minorHAnsi"/>
          <w:szCs w:val="24"/>
        </w:rPr>
        <w:t>13,1</w:t>
      </w:r>
      <w:r w:rsidRPr="007D383E">
        <w:rPr>
          <w:rFonts w:cstheme="minorHAnsi"/>
          <w:szCs w:val="24"/>
        </w:rPr>
        <w:t>% więcej niż w </w:t>
      </w:r>
      <w:r>
        <w:rPr>
          <w:rFonts w:cstheme="minorHAnsi"/>
          <w:szCs w:val="24"/>
        </w:rPr>
        <w:t>analogicznym okresie 2023</w:t>
      </w:r>
      <w:r w:rsidRPr="007D383E">
        <w:rPr>
          <w:rFonts w:cstheme="minorHAnsi"/>
          <w:szCs w:val="24"/>
        </w:rPr>
        <w:t xml:space="preserve"> roku. Najpopularniejszymi kierunkami były USA</w:t>
      </w:r>
      <w:r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Niemcy i Katar. Największe wzrosty ilościowe względem </w:t>
      </w:r>
      <w:r>
        <w:rPr>
          <w:rFonts w:cstheme="minorHAnsi"/>
          <w:szCs w:val="24"/>
        </w:rPr>
        <w:t xml:space="preserve">pierwszego kwartału 2024 roku odnotowano w </w:t>
      </w:r>
      <w:r w:rsidRPr="007D383E">
        <w:rPr>
          <w:rFonts w:cstheme="minorHAnsi"/>
          <w:szCs w:val="24"/>
        </w:rPr>
        <w:t xml:space="preserve">przypadku </w:t>
      </w:r>
      <w:r w:rsidR="001318D6">
        <w:rPr>
          <w:rFonts w:cstheme="minorHAnsi"/>
          <w:szCs w:val="24"/>
        </w:rPr>
        <w:t>Chin (+2,8</w:t>
      </w:r>
      <w:r>
        <w:rPr>
          <w:rFonts w:cstheme="minorHAnsi"/>
          <w:szCs w:val="24"/>
        </w:rPr>
        <w:t xml:space="preserve"> tys. ton), </w:t>
      </w:r>
      <w:r w:rsidRPr="007D383E">
        <w:rPr>
          <w:rFonts w:cstheme="minorHAnsi"/>
          <w:szCs w:val="24"/>
        </w:rPr>
        <w:t>Kataru (+</w:t>
      </w:r>
      <w:r>
        <w:rPr>
          <w:rFonts w:cstheme="minorHAnsi"/>
          <w:szCs w:val="24"/>
        </w:rPr>
        <w:t xml:space="preserve">1,7 </w:t>
      </w:r>
      <w:r w:rsidRPr="007D383E">
        <w:rPr>
          <w:rFonts w:cstheme="minorHAnsi"/>
          <w:szCs w:val="24"/>
        </w:rPr>
        <w:t xml:space="preserve">tys. ton), </w:t>
      </w:r>
      <w:r>
        <w:rPr>
          <w:rFonts w:cstheme="minorHAnsi"/>
          <w:szCs w:val="24"/>
        </w:rPr>
        <w:t>USA</w:t>
      </w:r>
      <w:r w:rsidRPr="007D383E">
        <w:rPr>
          <w:rFonts w:cstheme="minorHAnsi"/>
          <w:szCs w:val="24"/>
        </w:rPr>
        <w:t xml:space="preserve"> (+</w:t>
      </w:r>
      <w:r>
        <w:rPr>
          <w:rFonts w:cstheme="minorHAnsi"/>
          <w:szCs w:val="24"/>
        </w:rPr>
        <w:t>1,6 tys. ton). Wśród przewoźników n</w:t>
      </w:r>
      <w:r w:rsidRPr="007D383E">
        <w:rPr>
          <w:rFonts w:cstheme="minorHAnsi"/>
          <w:szCs w:val="24"/>
        </w:rPr>
        <w:t xml:space="preserve">ajwięcej cargo w </w:t>
      </w:r>
      <w:r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kwartale </w:t>
      </w:r>
      <w:r w:rsidR="001318D6">
        <w:rPr>
          <w:rFonts w:cstheme="minorHAnsi"/>
          <w:szCs w:val="24"/>
        </w:rPr>
        <w:t>2025</w:t>
      </w:r>
      <w:r>
        <w:rPr>
          <w:rFonts w:cstheme="minorHAnsi"/>
          <w:szCs w:val="24"/>
        </w:rPr>
        <w:t xml:space="preserve"> roku przewiózł PLL LOT – 11</w:t>
      </w:r>
      <w:r w:rsidRPr="007D383E">
        <w:rPr>
          <w:rFonts w:cstheme="minorHAnsi"/>
          <w:szCs w:val="24"/>
        </w:rPr>
        <w:t>,</w:t>
      </w:r>
      <w:r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tys. ton, a następnie DHL (</w:t>
      </w:r>
      <w:r>
        <w:rPr>
          <w:rFonts w:cstheme="minorHAnsi"/>
          <w:szCs w:val="24"/>
        </w:rPr>
        <w:t>8,5</w:t>
      </w:r>
      <w:r w:rsidRPr="007D383E">
        <w:rPr>
          <w:rFonts w:cstheme="minorHAnsi"/>
          <w:szCs w:val="24"/>
        </w:rPr>
        <w:t xml:space="preserve"> tys. ton) oraz </w:t>
      </w:r>
      <w:r>
        <w:rPr>
          <w:rFonts w:cstheme="minorHAnsi"/>
          <w:szCs w:val="24"/>
        </w:rPr>
        <w:t>Qatar Airways</w:t>
      </w:r>
      <w:r w:rsidRPr="007D383E">
        <w:rPr>
          <w:rFonts w:cstheme="minorHAnsi"/>
          <w:szCs w:val="24"/>
        </w:rPr>
        <w:t xml:space="preserve"> (</w:t>
      </w:r>
      <w:r w:rsidR="001318D6">
        <w:rPr>
          <w:rFonts w:cstheme="minorHAnsi"/>
          <w:szCs w:val="24"/>
        </w:rPr>
        <w:t>4,2</w:t>
      </w:r>
      <w:r w:rsidRPr="007D383E">
        <w:rPr>
          <w:rFonts w:cstheme="minorHAnsi"/>
          <w:szCs w:val="24"/>
        </w:rPr>
        <w:t xml:space="preserve"> tys. ton). Największe ilościowe wzrosty w stosunku do </w:t>
      </w:r>
      <w:r>
        <w:rPr>
          <w:rFonts w:cstheme="minorHAnsi"/>
          <w:szCs w:val="24"/>
        </w:rPr>
        <w:t>pierwszego kwartału 2024</w:t>
      </w:r>
      <w:r w:rsidRPr="007D383E">
        <w:rPr>
          <w:rFonts w:cstheme="minorHAnsi"/>
          <w:szCs w:val="24"/>
        </w:rPr>
        <w:t xml:space="preserve"> roku </w:t>
      </w:r>
      <w:r>
        <w:rPr>
          <w:rFonts w:cstheme="minorHAnsi"/>
          <w:szCs w:val="24"/>
        </w:rPr>
        <w:t>odnotowano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dla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Sichuan Airlines (1,5 tys. ton), Kalitta Air</w:t>
      </w:r>
      <w:r w:rsidRPr="007D383E">
        <w:rPr>
          <w:rFonts w:cstheme="minorHAnsi"/>
          <w:szCs w:val="24"/>
        </w:rPr>
        <w:t xml:space="preserve"> (+</w:t>
      </w:r>
      <w:r w:rsidR="001318D6">
        <w:rPr>
          <w:rFonts w:cstheme="minorHAnsi"/>
          <w:szCs w:val="24"/>
        </w:rPr>
        <w:t>1,5</w:t>
      </w:r>
      <w:r w:rsidRPr="007D383E">
        <w:rPr>
          <w:rFonts w:cstheme="minorHAnsi"/>
          <w:szCs w:val="24"/>
        </w:rPr>
        <w:t xml:space="preserve"> tys. ton), </w:t>
      </w:r>
      <w:r>
        <w:rPr>
          <w:rFonts w:cstheme="minorHAnsi"/>
          <w:szCs w:val="24"/>
        </w:rPr>
        <w:t>SkyTaxi (+1,4 tys. ton).</w:t>
      </w:r>
    </w:p>
    <w:p w14:paraId="174DA4D3" w14:textId="51BBAF2B" w:rsidR="00744A54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cargo w </w:t>
      </w:r>
      <w:r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ponownie obsłużyło </w:t>
      </w:r>
      <w:r>
        <w:rPr>
          <w:rFonts w:cstheme="minorHAnsi"/>
          <w:szCs w:val="24"/>
        </w:rPr>
        <w:t>Lotnisko Chopina w Warszawie – 30,8 tys. ton, co stanowi 60,4</w:t>
      </w:r>
      <w:r w:rsidRPr="007D383E">
        <w:rPr>
          <w:rFonts w:cstheme="minorHAnsi"/>
          <w:szCs w:val="24"/>
        </w:rPr>
        <w:t xml:space="preserve">% całego cargo przewiezionego na pokładach samolotów w polskich portach lotniczych w tym okresie. Największe wzrosty ilościowe w stosunku do </w:t>
      </w:r>
      <w:r w:rsidR="001318D6">
        <w:rPr>
          <w:rFonts w:cstheme="minorHAnsi"/>
          <w:szCs w:val="24"/>
        </w:rPr>
        <w:t>pierwszego</w:t>
      </w:r>
      <w:r w:rsidRPr="007D383E">
        <w:rPr>
          <w:rFonts w:cstheme="minorHAnsi"/>
          <w:szCs w:val="24"/>
        </w:rPr>
        <w:t xml:space="preserve"> kwartału 202</w:t>
      </w:r>
      <w:r w:rsidR="001318D6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 </w:t>
      </w:r>
      <w:r>
        <w:rPr>
          <w:rFonts w:cstheme="minorHAnsi"/>
          <w:szCs w:val="24"/>
        </w:rPr>
        <w:t xml:space="preserve">oprócz </w:t>
      </w:r>
      <w:r w:rsidRPr="007D383E">
        <w:rPr>
          <w:rFonts w:cstheme="minorHAnsi"/>
          <w:szCs w:val="24"/>
        </w:rPr>
        <w:t>Lotnisk</w:t>
      </w:r>
      <w:r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Chopina w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Warszawie (</w:t>
      </w:r>
      <w:r>
        <w:rPr>
          <w:rFonts w:cstheme="minorHAnsi"/>
          <w:szCs w:val="24"/>
        </w:rPr>
        <w:t>+4,5</w:t>
      </w:r>
      <w:r w:rsidRPr="007D383E">
        <w:rPr>
          <w:rFonts w:cstheme="minorHAnsi"/>
          <w:szCs w:val="24"/>
        </w:rPr>
        <w:t xml:space="preserve"> tys. ton), </w:t>
      </w:r>
      <w:r w:rsidR="001318D6">
        <w:rPr>
          <w:rFonts w:cstheme="minorHAnsi"/>
          <w:szCs w:val="24"/>
        </w:rPr>
        <w:t>wystąpiły w przypadku portu lotniczego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Rzeszów-Jasionka</w:t>
      </w:r>
      <w:r w:rsidRPr="007D383E">
        <w:rPr>
          <w:rFonts w:cstheme="minorHAnsi"/>
          <w:szCs w:val="24"/>
        </w:rPr>
        <w:t xml:space="preserve"> (</w:t>
      </w:r>
      <w:r w:rsidR="001318D6">
        <w:rPr>
          <w:rFonts w:cstheme="minorHAnsi"/>
          <w:szCs w:val="24"/>
        </w:rPr>
        <w:t>+149,6</w:t>
      </w:r>
      <w:r>
        <w:rPr>
          <w:rFonts w:cstheme="minorHAnsi"/>
          <w:szCs w:val="24"/>
        </w:rPr>
        <w:t xml:space="preserve"> ton).</w:t>
      </w:r>
    </w:p>
    <w:p w14:paraId="052328BC" w14:textId="162194AF" w:rsidR="00E502B9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Liczba operacji lotniczych cargo </w:t>
      </w:r>
      <w:r>
        <w:rPr>
          <w:rFonts w:cstheme="minorHAnsi"/>
          <w:szCs w:val="24"/>
        </w:rPr>
        <w:t>wzrosła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 pierwszym kwartale 2025 roku</w:t>
      </w:r>
      <w:r w:rsidRPr="007D383E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0,9</w:t>
      </w:r>
      <w:r w:rsidRPr="007D383E">
        <w:rPr>
          <w:rFonts w:cstheme="minorHAnsi"/>
          <w:szCs w:val="24"/>
        </w:rPr>
        <w:t xml:space="preserve">% </w:t>
      </w:r>
      <w:r>
        <w:rPr>
          <w:rFonts w:cstheme="minorHAnsi"/>
          <w:szCs w:val="24"/>
        </w:rPr>
        <w:t>względem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analogicznego okresu 2024</w:t>
      </w:r>
      <w:r w:rsidRPr="007D383E">
        <w:rPr>
          <w:rFonts w:cstheme="minorHAnsi"/>
          <w:szCs w:val="24"/>
        </w:rPr>
        <w:t xml:space="preserve"> roku</w:t>
      </w:r>
      <w:r w:rsidR="000509B8">
        <w:rPr>
          <w:rFonts w:cstheme="minorHAnsi"/>
          <w:szCs w:val="24"/>
        </w:rPr>
        <w:t>, ale spadła</w:t>
      </w:r>
      <w:r>
        <w:rPr>
          <w:rFonts w:cstheme="minorHAnsi"/>
          <w:szCs w:val="24"/>
        </w:rPr>
        <w:t xml:space="preserve"> o</w:t>
      </w:r>
      <w:r w:rsidRPr="007D383E">
        <w:rPr>
          <w:rFonts w:cstheme="minorHAnsi"/>
          <w:szCs w:val="24"/>
        </w:rPr>
        <w:t xml:space="preserve"> </w:t>
      </w:r>
      <w:r w:rsidR="000509B8">
        <w:rPr>
          <w:rFonts w:cstheme="minorHAnsi"/>
          <w:szCs w:val="24"/>
        </w:rPr>
        <w:t>6,9</w:t>
      </w:r>
      <w:r w:rsidRPr="007D383E">
        <w:rPr>
          <w:rFonts w:cstheme="minorHAnsi"/>
          <w:szCs w:val="24"/>
        </w:rPr>
        <w:t xml:space="preserve">% </w:t>
      </w:r>
      <w:r>
        <w:rPr>
          <w:rFonts w:cstheme="minorHAnsi"/>
          <w:szCs w:val="24"/>
        </w:rPr>
        <w:t>względem</w:t>
      </w:r>
      <w:r w:rsidRPr="007D383E">
        <w:rPr>
          <w:rFonts w:cstheme="minorHAnsi"/>
          <w:szCs w:val="24"/>
        </w:rPr>
        <w:t xml:space="preserve"> </w:t>
      </w:r>
      <w:r w:rsidR="000509B8">
        <w:rPr>
          <w:rFonts w:cstheme="minorHAnsi"/>
          <w:szCs w:val="24"/>
        </w:rPr>
        <w:t>pierwszego</w:t>
      </w:r>
      <w:r>
        <w:rPr>
          <w:rFonts w:cstheme="minorHAnsi"/>
          <w:szCs w:val="24"/>
        </w:rPr>
        <w:t xml:space="preserve"> kwartału </w:t>
      </w:r>
      <w:r w:rsidR="000509B8">
        <w:rPr>
          <w:rFonts w:cstheme="minorHAnsi"/>
          <w:szCs w:val="24"/>
        </w:rPr>
        <w:t>2023</w:t>
      </w:r>
      <w:r w:rsidRPr="007D383E">
        <w:rPr>
          <w:rFonts w:cstheme="minorHAnsi"/>
          <w:szCs w:val="24"/>
        </w:rPr>
        <w:t xml:space="preserve"> roku.</w:t>
      </w:r>
    </w:p>
    <w:p w14:paraId="417D2272" w14:textId="77777777" w:rsidR="00AF47F0" w:rsidRPr="007D383E" w:rsidRDefault="00AF47F0" w:rsidP="00AF47F0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2293BF16" wp14:editId="1FA5B072">
            <wp:extent cx="4680000" cy="2340000"/>
            <wp:effectExtent l="0" t="0" r="6350" b="3175"/>
            <wp:docPr id="46" name="Wykres 46" descr="Wykres przedstawia ilość cargo przewiezionego na pokładach samolotów w danym kwartale z uwzględnieniem analogicznych okresów z poprzednich 2 lat. Dane przedstawione w Tabeli 5.1 poniżej." title="Wykres 5.1 Ilość cargo „on board” (tys. to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9F4C06" w14:textId="1F3F809D" w:rsidR="00AF47F0" w:rsidRPr="007D383E" w:rsidRDefault="00AF47F0" w:rsidP="00AF47F0">
      <w:pPr>
        <w:pStyle w:val="Legenda"/>
        <w:rPr>
          <w:rFonts w:cstheme="minorHAnsi"/>
          <w:szCs w:val="24"/>
        </w:rPr>
      </w:pPr>
      <w:bookmarkStart w:id="12" w:name="_Toc20053492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5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</w:t>
      </w:r>
      <w:r w:rsidR="00A32D8B" w:rsidRPr="007D383E">
        <w:rPr>
          <w:noProof/>
        </w:rPr>
        <w:t xml:space="preserve">tys. </w:t>
      </w:r>
      <w:r w:rsidRPr="007D383E">
        <w:rPr>
          <w:noProof/>
        </w:rPr>
        <w:t xml:space="preserve">ton) – kwartał – wykres przedstawia ilość cargo przewiezionego na pokładach samolotów </w:t>
      </w:r>
      <w:r w:rsidR="00A2095D" w:rsidRPr="007D383E">
        <w:rPr>
          <w:noProof/>
        </w:rPr>
        <w:t xml:space="preserve">w </w:t>
      </w:r>
      <w:r w:rsidR="00F23136">
        <w:rPr>
          <w:noProof/>
        </w:rPr>
        <w:t>pierwszym</w:t>
      </w:r>
      <w:r w:rsidR="00A2095D" w:rsidRPr="007D383E">
        <w:rPr>
          <w:noProof/>
        </w:rPr>
        <w:t xml:space="preserve"> kwartale 202</w:t>
      </w:r>
      <w:r w:rsidR="00F23136">
        <w:rPr>
          <w:noProof/>
        </w:rPr>
        <w:t>5</w:t>
      </w:r>
      <w:r w:rsidR="00A2095D" w:rsidRPr="007D383E">
        <w:rPr>
          <w:noProof/>
        </w:rPr>
        <w:t xml:space="preserve"> roku </w:t>
      </w:r>
      <w:r w:rsidRPr="007D383E">
        <w:rPr>
          <w:noProof/>
        </w:rPr>
        <w:t xml:space="preserve">wraz z uwzględnieniem analogicznego okresu lat </w:t>
      </w:r>
      <w:r w:rsidR="00F23136">
        <w:rPr>
          <w:noProof/>
        </w:rPr>
        <w:t>2024</w:t>
      </w:r>
      <w:r w:rsidR="007A7454" w:rsidRPr="007D383E">
        <w:rPr>
          <w:noProof/>
        </w:rPr>
        <w:t xml:space="preserve"> i 202</w:t>
      </w:r>
      <w:r w:rsidR="00F23136">
        <w:rPr>
          <w:noProof/>
        </w:rPr>
        <w:t>3</w:t>
      </w:r>
      <w:r w:rsidRPr="007D383E">
        <w:rPr>
          <w:noProof/>
        </w:rPr>
        <w:t>.</w:t>
      </w:r>
      <w:bookmarkEnd w:id="1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5.1 Ilość cargo „on board” (tys. ton) – kwartał "/>
        <w:tblDescription w:val="Tabela przedstawia ilość cargo przewiezionego na pokładach samolotów w danym kwartale z uwzględnieniem analogicznych okresów z poprzednich 2 lat. "/>
      </w:tblPr>
      <w:tblGrid>
        <w:gridCol w:w="1200"/>
        <w:gridCol w:w="1980"/>
      </w:tblGrid>
      <w:tr w:rsidR="00527143" w:rsidRPr="007D383E" w14:paraId="0921E93F" w14:textId="77777777" w:rsidTr="003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12346F81" w14:textId="77777777" w:rsidR="00527143" w:rsidRPr="007D383E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00A65BF1" w14:textId="77777777" w:rsidR="00527143" w:rsidRPr="007D383E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842D85" w:rsidRPr="007D383E" w14:paraId="0C04D8DE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4FDCE4E" w14:textId="53CA4962" w:rsidR="00842D85" w:rsidRPr="007D383E" w:rsidRDefault="00842D85" w:rsidP="00842D85">
            <w:pPr>
              <w:jc w:val="center"/>
            </w:pPr>
            <w:r>
              <w:t>2025</w:t>
            </w:r>
          </w:p>
        </w:tc>
        <w:tc>
          <w:tcPr>
            <w:tcW w:w="1980" w:type="dxa"/>
            <w:hideMark/>
          </w:tcPr>
          <w:p w14:paraId="47E0896C" w14:textId="37C86509" w:rsidR="00842D85" w:rsidRPr="007D383E" w:rsidRDefault="00842D85" w:rsidP="00842D85">
            <w:pPr>
              <w:jc w:val="center"/>
            </w:pPr>
            <w:r w:rsidRPr="001B0AEE">
              <w:t>50 995</w:t>
            </w:r>
          </w:p>
        </w:tc>
      </w:tr>
      <w:tr w:rsidR="00842D85" w:rsidRPr="007D383E" w14:paraId="6BDA372B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1006DF4" w14:textId="799C2050" w:rsidR="00842D85" w:rsidRPr="007D383E" w:rsidRDefault="00842D85" w:rsidP="00842D85">
            <w:pPr>
              <w:jc w:val="center"/>
            </w:pPr>
            <w:r>
              <w:t>2024</w:t>
            </w:r>
          </w:p>
        </w:tc>
        <w:tc>
          <w:tcPr>
            <w:tcW w:w="1980" w:type="dxa"/>
            <w:hideMark/>
          </w:tcPr>
          <w:p w14:paraId="7886F10B" w14:textId="260148D8" w:rsidR="00842D85" w:rsidRPr="007D383E" w:rsidRDefault="00842D85" w:rsidP="00842D85">
            <w:pPr>
              <w:jc w:val="center"/>
            </w:pPr>
            <w:r w:rsidRPr="001B0AEE">
              <w:t>47 051</w:t>
            </w:r>
          </w:p>
        </w:tc>
      </w:tr>
      <w:tr w:rsidR="00842D85" w:rsidRPr="007D383E" w14:paraId="2F488E37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2D835659" w14:textId="00B9B1E9" w:rsidR="00842D85" w:rsidRPr="007D383E" w:rsidRDefault="00842D85" w:rsidP="00842D85">
            <w:pPr>
              <w:jc w:val="center"/>
            </w:pPr>
            <w:r>
              <w:t>2023</w:t>
            </w:r>
          </w:p>
        </w:tc>
        <w:tc>
          <w:tcPr>
            <w:tcW w:w="1980" w:type="dxa"/>
            <w:hideMark/>
          </w:tcPr>
          <w:p w14:paraId="22945333" w14:textId="2F47E7AB" w:rsidR="00842D85" w:rsidRPr="007D383E" w:rsidRDefault="00842D85" w:rsidP="00842D85">
            <w:pPr>
              <w:jc w:val="center"/>
            </w:pPr>
            <w:r w:rsidRPr="001B0AEE">
              <w:t>45 070</w:t>
            </w:r>
          </w:p>
        </w:tc>
      </w:tr>
    </w:tbl>
    <w:p w14:paraId="0D84A0C9" w14:textId="686E44B1" w:rsidR="00F2523B" w:rsidRPr="007D383E" w:rsidRDefault="00F2523B">
      <w:pPr>
        <w:pStyle w:val="Legenda"/>
      </w:pPr>
      <w:bookmarkStart w:id="13" w:name="_Toc20053852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5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(ton) – kwartał</w:t>
      </w:r>
      <w:bookmarkEnd w:id="13"/>
    </w:p>
    <w:p w14:paraId="3418F977" w14:textId="77777777" w:rsidR="00527143" w:rsidRPr="007D383E" w:rsidRDefault="00EF21A5" w:rsidP="005A6434">
      <w:pPr>
        <w:pStyle w:val="Nagwek1"/>
      </w:pPr>
      <w:bookmarkStart w:id="14" w:name="_Toc200533892"/>
      <w:r w:rsidRPr="007D383E">
        <w:lastRenderedPageBreak/>
        <w:t>Sezonowe zmiany przewozów</w:t>
      </w:r>
      <w:bookmarkEnd w:id="14"/>
    </w:p>
    <w:p w14:paraId="31AC9E2F" w14:textId="77777777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liczba ob</w:t>
      </w:r>
      <w:r>
        <w:rPr>
          <w:rFonts w:cstheme="minorHAnsi"/>
          <w:szCs w:val="24"/>
        </w:rPr>
        <w:t>służonych pasażerów wzrosła o 11</w:t>
      </w:r>
      <w:r w:rsidRPr="007D383E">
        <w:rPr>
          <w:rFonts w:cstheme="minorHAnsi"/>
          <w:szCs w:val="24"/>
        </w:rPr>
        <w:t>,</w:t>
      </w:r>
      <w:r>
        <w:rPr>
          <w:rFonts w:cstheme="minorHAnsi"/>
          <w:szCs w:val="24"/>
        </w:rPr>
        <w:t>8% w </w:t>
      </w:r>
      <w:r w:rsidRPr="007D383E">
        <w:rPr>
          <w:rFonts w:cstheme="minorHAnsi"/>
          <w:szCs w:val="24"/>
        </w:rPr>
        <w:t xml:space="preserve">stosunku do </w:t>
      </w:r>
      <w:r>
        <w:rPr>
          <w:rFonts w:cstheme="minorHAnsi"/>
          <w:szCs w:val="24"/>
        </w:rPr>
        <w:t>porównywalnego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okresu 2024</w:t>
      </w:r>
      <w:r w:rsidRPr="007D383E">
        <w:rPr>
          <w:rFonts w:cstheme="minorHAnsi"/>
          <w:szCs w:val="24"/>
        </w:rPr>
        <w:t xml:space="preserve"> roku i o </w:t>
      </w:r>
      <w:r>
        <w:rPr>
          <w:rFonts w:cstheme="minorHAnsi"/>
          <w:szCs w:val="24"/>
        </w:rPr>
        <w:t>30,6% względem 2023 roku</w:t>
      </w:r>
      <w:r w:rsidRPr="007D383E">
        <w:rPr>
          <w:rFonts w:cstheme="minorHAnsi"/>
          <w:szCs w:val="24"/>
        </w:rPr>
        <w:t>.</w:t>
      </w:r>
    </w:p>
    <w:p w14:paraId="1FC82D6C" w14:textId="3BA0780A" w:rsidR="000B3CAC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Miesięczne dynamiki liczby pasażerów dla całego ruchu wzgl</w:t>
      </w:r>
      <w:r w:rsidR="001318D6">
        <w:rPr>
          <w:rFonts w:cstheme="minorHAnsi"/>
          <w:szCs w:val="24"/>
        </w:rPr>
        <w:t>ędem analogicznych miesięcy 2024</w:t>
      </w:r>
      <w:r w:rsidRPr="007D383E">
        <w:rPr>
          <w:rFonts w:cstheme="minorHAnsi"/>
          <w:szCs w:val="24"/>
        </w:rPr>
        <w:t xml:space="preserve"> roku wynosiły </w:t>
      </w:r>
      <w:r>
        <w:rPr>
          <w:rFonts w:cstheme="minorHAnsi"/>
          <w:szCs w:val="24"/>
        </w:rPr>
        <w:t>9,5</w:t>
      </w:r>
      <w:r w:rsidRPr="007D383E">
        <w:rPr>
          <w:rFonts w:cstheme="minorHAnsi"/>
          <w:szCs w:val="24"/>
        </w:rPr>
        <w:t xml:space="preserve">% dla </w:t>
      </w:r>
      <w:r>
        <w:rPr>
          <w:rFonts w:cstheme="minorHAnsi"/>
          <w:szCs w:val="24"/>
        </w:rPr>
        <w:t>stycznia</w:t>
      </w:r>
      <w:r w:rsidRPr="007D383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13,5</w:t>
      </w:r>
      <w:r w:rsidRPr="007D383E">
        <w:rPr>
          <w:rFonts w:cstheme="minorHAnsi"/>
          <w:szCs w:val="24"/>
        </w:rPr>
        <w:t xml:space="preserve">% dla </w:t>
      </w:r>
      <w:r>
        <w:rPr>
          <w:rFonts w:cstheme="minorHAnsi"/>
          <w:szCs w:val="24"/>
        </w:rPr>
        <w:t>lutego</w:t>
      </w:r>
      <w:r w:rsidRPr="007D383E">
        <w:rPr>
          <w:rFonts w:cstheme="minorHAnsi"/>
          <w:szCs w:val="24"/>
        </w:rPr>
        <w:t xml:space="preserve"> oraz </w:t>
      </w:r>
      <w:r w:rsidR="001318D6">
        <w:rPr>
          <w:rFonts w:cstheme="minorHAnsi"/>
          <w:szCs w:val="24"/>
        </w:rPr>
        <w:t>12,3</w:t>
      </w:r>
      <w:r w:rsidRPr="007D383E">
        <w:rPr>
          <w:rFonts w:cstheme="minorHAnsi"/>
          <w:szCs w:val="24"/>
        </w:rPr>
        <w:t xml:space="preserve">% dla </w:t>
      </w:r>
      <w:r>
        <w:rPr>
          <w:rFonts w:cstheme="minorHAnsi"/>
          <w:szCs w:val="24"/>
        </w:rPr>
        <w:t>marca</w:t>
      </w:r>
      <w:r w:rsidR="001318D6">
        <w:rPr>
          <w:rFonts w:cstheme="minorHAnsi"/>
          <w:szCs w:val="24"/>
        </w:rPr>
        <w:t>.</w:t>
      </w:r>
    </w:p>
    <w:p w14:paraId="5D8352F0" w14:textId="77777777" w:rsidR="00AF47F0" w:rsidRPr="007D383E" w:rsidRDefault="00AF47F0" w:rsidP="00AF47F0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E3BFFB2" wp14:editId="326EDBA8">
            <wp:extent cx="3600000" cy="1922400"/>
            <wp:effectExtent l="0" t="0" r="635" b="1905"/>
            <wp:docPr id="47" name="Wykres 47" descr="Wykres przedstawia zmiany zachodzące w danym kwartale oraz w minionych kwartałach w porównaniu z rokiem poprzednim. Dane przedstawione w Tabeli 6.1 poniżej." title="Wykres 6.1 Dynamika ruchu względem roku poprzedni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119EB3" w14:textId="3AB1BC2C" w:rsidR="00AF47F0" w:rsidRPr="007D383E" w:rsidRDefault="00AF47F0" w:rsidP="00AF47F0">
      <w:pPr>
        <w:pStyle w:val="Legenda"/>
        <w:rPr>
          <w:rFonts w:cstheme="minorHAnsi"/>
          <w:szCs w:val="24"/>
        </w:rPr>
      </w:pPr>
      <w:bookmarkStart w:id="15" w:name="_Toc20053492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F23136">
        <w:rPr>
          <w:noProof/>
        </w:rPr>
        <w:t>Dynamika ruchu 2025</w:t>
      </w:r>
      <w:r w:rsidR="00A2095D" w:rsidRPr="007D383E">
        <w:rPr>
          <w:noProof/>
        </w:rPr>
        <w:t xml:space="preserve"> vs. 202</w:t>
      </w:r>
      <w:r w:rsidR="00F23136">
        <w:rPr>
          <w:noProof/>
        </w:rPr>
        <w:t>4</w:t>
      </w:r>
      <w:r w:rsidRPr="007D383E">
        <w:rPr>
          <w:noProof/>
        </w:rPr>
        <w:t xml:space="preserve"> – wykres przedstawia zmiany zachodzące </w:t>
      </w:r>
      <w:r w:rsidR="00A2095D" w:rsidRPr="007D383E">
        <w:rPr>
          <w:noProof/>
        </w:rPr>
        <w:t xml:space="preserve">w </w:t>
      </w:r>
      <w:r w:rsidR="00F23136">
        <w:rPr>
          <w:noProof/>
        </w:rPr>
        <w:t>pierwszym</w:t>
      </w:r>
      <w:r w:rsidR="00A2095D" w:rsidRPr="007D383E">
        <w:rPr>
          <w:noProof/>
        </w:rPr>
        <w:t xml:space="preserve"> kwartale 202</w:t>
      </w:r>
      <w:r w:rsidR="00F23136">
        <w:rPr>
          <w:noProof/>
        </w:rPr>
        <w:t>5</w:t>
      </w:r>
      <w:r w:rsidR="00A2095D" w:rsidRPr="007D383E">
        <w:rPr>
          <w:noProof/>
        </w:rPr>
        <w:t xml:space="preserve"> roku</w:t>
      </w:r>
      <w:r w:rsidRPr="007D383E">
        <w:rPr>
          <w:noProof/>
        </w:rPr>
        <w:t xml:space="preserve"> w porównaniu z </w:t>
      </w:r>
      <w:r w:rsidR="00F23136">
        <w:rPr>
          <w:noProof/>
        </w:rPr>
        <w:t>analogicznym okresem</w:t>
      </w:r>
      <w:r w:rsidR="00A2095D" w:rsidRPr="007D383E">
        <w:rPr>
          <w:noProof/>
        </w:rPr>
        <w:t xml:space="preserve"> roku 202</w:t>
      </w:r>
      <w:r w:rsidR="00F23136">
        <w:rPr>
          <w:noProof/>
        </w:rPr>
        <w:t>4</w:t>
      </w:r>
      <w:r w:rsidRPr="007D383E">
        <w:rPr>
          <w:noProof/>
        </w:rPr>
        <w:t>.</w:t>
      </w:r>
      <w:bookmarkEnd w:id="15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6.1 Dynamika ruchu 2025 vs. 2024"/>
        <w:tblDescription w:val="Tabela przedstawia zmiany zachodzące w danym kwartale oraz w minionych kwartałach w porównaniu z rokiem poprzednim."/>
      </w:tblPr>
      <w:tblGrid>
        <w:gridCol w:w="1711"/>
        <w:gridCol w:w="1469"/>
      </w:tblGrid>
      <w:tr w:rsidR="00284E0B" w:rsidRPr="007D383E" w14:paraId="2E0314AD" w14:textId="77777777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90206E1" w14:textId="795B0CDA" w:rsidR="00284E0B" w:rsidRPr="007D383E" w:rsidRDefault="00F23136" w:rsidP="00A2095D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2025</w:t>
            </w:r>
            <w:r w:rsidR="00284E0B" w:rsidRPr="007D383E">
              <w:rPr>
                <w:rFonts w:cstheme="minorHAnsi"/>
                <w:bCs/>
                <w:szCs w:val="24"/>
              </w:rPr>
              <w:t xml:space="preserve"> vs. 202</w:t>
            </w:r>
            <w:r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1469" w:type="dxa"/>
            <w:vAlign w:val="center"/>
            <w:hideMark/>
          </w:tcPr>
          <w:p w14:paraId="6DCEB503" w14:textId="77777777" w:rsidR="00284E0B" w:rsidRPr="007D383E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4B5D8E" w:rsidRPr="007D383E" w14:paraId="17C8954C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805776A" w14:textId="60FFAE56" w:rsidR="004B5D8E" w:rsidRPr="007D383E" w:rsidRDefault="004B5D8E" w:rsidP="004B5D8E">
            <w:pPr>
              <w:jc w:val="center"/>
            </w:pPr>
            <w:r w:rsidRPr="007D383E">
              <w:t>I-kwartał</w:t>
            </w:r>
          </w:p>
        </w:tc>
        <w:tc>
          <w:tcPr>
            <w:tcW w:w="1469" w:type="dxa"/>
            <w:vAlign w:val="center"/>
            <w:hideMark/>
          </w:tcPr>
          <w:p w14:paraId="14C2FF4B" w14:textId="57E0C15F" w:rsidR="004B5D8E" w:rsidRPr="007D383E" w:rsidRDefault="00F23136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11,8</w:t>
            </w:r>
            <w:r w:rsidR="004B5D8E" w:rsidRPr="007D383E">
              <w:t>%</w:t>
            </w:r>
          </w:p>
        </w:tc>
      </w:tr>
    </w:tbl>
    <w:p w14:paraId="05144F2B" w14:textId="165226D4" w:rsidR="00284E0B" w:rsidRPr="007D383E" w:rsidRDefault="00284E0B">
      <w:pPr>
        <w:pStyle w:val="Legenda"/>
        <w:rPr>
          <w:noProof/>
        </w:rPr>
      </w:pPr>
      <w:bookmarkStart w:id="16" w:name="_Toc20053852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</w:t>
      </w:r>
      <w:r w:rsidR="00F23136">
        <w:rPr>
          <w:noProof/>
        </w:rPr>
        <w:t>namika ruchu 2025</w:t>
      </w:r>
      <w:r w:rsidRPr="007D383E">
        <w:rPr>
          <w:noProof/>
        </w:rPr>
        <w:t xml:space="preserve"> vs. 202</w:t>
      </w:r>
      <w:r w:rsidR="00F23136">
        <w:rPr>
          <w:noProof/>
        </w:rPr>
        <w:t>4</w:t>
      </w:r>
      <w:bookmarkEnd w:id="16"/>
    </w:p>
    <w:p w14:paraId="772DCDD4" w14:textId="77777777" w:rsidR="002D4F08" w:rsidRPr="007D383E" w:rsidRDefault="002D4F08" w:rsidP="002D4F08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AAAC5FE" wp14:editId="61ED987E">
            <wp:extent cx="3600000" cy="1922400"/>
            <wp:effectExtent l="0" t="0" r="635" b="1905"/>
            <wp:docPr id="48" name="Wykres 48" descr="Wykres przedstawia zmiany zachodzące w danym kwartale oraz w minionych kwartałach w porównaniu z tymi samymi okresami dwa lata wstecz. Dane przedstawione w Tabeli 6.2 poniżej." title="Wykres 6.2 Dynamika ruchu względem 2 lat wstecz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33E3A79" w14:textId="1489F334" w:rsidR="002D4F08" w:rsidRPr="007D383E" w:rsidRDefault="002D4F08" w:rsidP="002D4F08">
      <w:pPr>
        <w:pStyle w:val="Legenda"/>
      </w:pPr>
      <w:bookmarkStart w:id="17" w:name="_Toc20053492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ruchu 202</w:t>
      </w:r>
      <w:r w:rsidR="00F23136">
        <w:rPr>
          <w:noProof/>
        </w:rPr>
        <w:t>5</w:t>
      </w:r>
      <w:r w:rsidRPr="007D383E">
        <w:rPr>
          <w:noProof/>
        </w:rPr>
        <w:t xml:space="preserve"> vs. 202</w:t>
      </w:r>
      <w:r w:rsidR="00F23136">
        <w:rPr>
          <w:noProof/>
        </w:rPr>
        <w:t>3</w:t>
      </w:r>
      <w:r w:rsidR="00A2095D" w:rsidRPr="007D383E">
        <w:rPr>
          <w:noProof/>
        </w:rPr>
        <w:t xml:space="preserve"> </w:t>
      </w:r>
      <w:r w:rsidRPr="007D383E">
        <w:rPr>
          <w:noProof/>
        </w:rPr>
        <w:t xml:space="preserve">– wykres przedstawia zmiany zachodzące </w:t>
      </w:r>
      <w:r w:rsidR="00A2095D" w:rsidRPr="007D383E">
        <w:rPr>
          <w:noProof/>
        </w:rPr>
        <w:t xml:space="preserve">w </w:t>
      </w:r>
      <w:r w:rsidR="00F23136">
        <w:rPr>
          <w:noProof/>
        </w:rPr>
        <w:t>pierwszym</w:t>
      </w:r>
      <w:r w:rsidR="00A2095D" w:rsidRPr="007D383E">
        <w:rPr>
          <w:noProof/>
        </w:rPr>
        <w:t xml:space="preserve"> kwartale 202</w:t>
      </w:r>
      <w:r w:rsidR="00F23136">
        <w:rPr>
          <w:noProof/>
        </w:rPr>
        <w:t>5</w:t>
      </w:r>
      <w:r w:rsidR="00A2095D" w:rsidRPr="007D383E">
        <w:rPr>
          <w:noProof/>
        </w:rPr>
        <w:t xml:space="preserve"> roku</w:t>
      </w:r>
      <w:r w:rsidRPr="007D383E">
        <w:rPr>
          <w:noProof/>
        </w:rPr>
        <w:t xml:space="preserve"> w porównaniu z </w:t>
      </w:r>
      <w:r w:rsidR="00F23136">
        <w:rPr>
          <w:noProof/>
        </w:rPr>
        <w:t>analogicznym okresem</w:t>
      </w:r>
      <w:r w:rsidR="00F23136" w:rsidRPr="007D383E">
        <w:rPr>
          <w:noProof/>
        </w:rPr>
        <w:t xml:space="preserve"> </w:t>
      </w:r>
      <w:r w:rsidR="00F23136">
        <w:rPr>
          <w:noProof/>
        </w:rPr>
        <w:t>roku 2023</w:t>
      </w:r>
      <w:r w:rsidRPr="007D383E">
        <w:rPr>
          <w:noProof/>
        </w:rPr>
        <w:t>.</w:t>
      </w:r>
      <w:bookmarkEnd w:id="17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6.2 Dynamika ruchu 2025 vs. 2023"/>
        <w:tblDescription w:val="Tabela przedstawia zmiany zachodzące w danym kwartale oraz w minionych kwartałach w porównaniu z tymi samymi okresami dwa lata wstecz."/>
      </w:tblPr>
      <w:tblGrid>
        <w:gridCol w:w="1680"/>
        <w:gridCol w:w="1500"/>
      </w:tblGrid>
      <w:tr w:rsidR="00284E0B" w:rsidRPr="007D383E" w14:paraId="2886F273" w14:textId="77777777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7556028E" w14:textId="4B342F7B" w:rsidR="00284E0B" w:rsidRPr="007D383E" w:rsidRDefault="00F23136" w:rsidP="00A2095D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2025</w:t>
            </w:r>
            <w:r w:rsidR="00284E0B" w:rsidRPr="007D383E">
              <w:rPr>
                <w:rFonts w:cstheme="minorHAnsi"/>
                <w:bCs/>
                <w:szCs w:val="24"/>
              </w:rPr>
              <w:t xml:space="preserve"> vs. 202</w:t>
            </w:r>
            <w:r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500" w:type="dxa"/>
            <w:vAlign w:val="center"/>
            <w:hideMark/>
          </w:tcPr>
          <w:p w14:paraId="7FACF02D" w14:textId="77777777" w:rsidR="00284E0B" w:rsidRPr="007D383E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4B5D8E" w:rsidRPr="007D383E" w14:paraId="56B12EF4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2C8FDA34" w14:textId="5FE7C9D5" w:rsidR="004B5D8E" w:rsidRPr="007D383E" w:rsidRDefault="004B5D8E" w:rsidP="004B5D8E">
            <w:pPr>
              <w:jc w:val="center"/>
            </w:pPr>
            <w:r w:rsidRPr="007D383E">
              <w:t>I-kwartał</w:t>
            </w:r>
          </w:p>
        </w:tc>
        <w:tc>
          <w:tcPr>
            <w:tcW w:w="1500" w:type="dxa"/>
            <w:vAlign w:val="center"/>
            <w:hideMark/>
          </w:tcPr>
          <w:p w14:paraId="25B2C80C" w14:textId="1087B9A7" w:rsidR="004B5D8E" w:rsidRPr="007D383E" w:rsidRDefault="00F23136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30,6</w:t>
            </w:r>
            <w:r w:rsidR="004B5D8E" w:rsidRPr="007D383E">
              <w:t>%</w:t>
            </w:r>
          </w:p>
        </w:tc>
      </w:tr>
    </w:tbl>
    <w:p w14:paraId="66632220" w14:textId="2552DDE8" w:rsidR="00284E0B" w:rsidRPr="007D383E" w:rsidRDefault="00284E0B" w:rsidP="00284E0B">
      <w:pPr>
        <w:pStyle w:val="Legenda"/>
        <w:rPr>
          <w:rFonts w:cstheme="minorHAnsi"/>
          <w:szCs w:val="24"/>
        </w:rPr>
      </w:pPr>
      <w:bookmarkStart w:id="18" w:name="_Toc20053852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 202</w:t>
      </w:r>
      <w:r w:rsidR="00F23136">
        <w:rPr>
          <w:noProof/>
        </w:rPr>
        <w:t>5</w:t>
      </w:r>
      <w:r w:rsidRPr="007D383E">
        <w:rPr>
          <w:noProof/>
        </w:rPr>
        <w:t xml:space="preserve"> vs. 202</w:t>
      </w:r>
      <w:r w:rsidR="00F23136">
        <w:rPr>
          <w:noProof/>
        </w:rPr>
        <w:t>3</w:t>
      </w:r>
      <w:bookmarkEnd w:id="18"/>
    </w:p>
    <w:p w14:paraId="544DD3DA" w14:textId="276B5C17" w:rsidR="00744A54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ruchu czarterowym zaobserwowano wzrost w </w:t>
      </w:r>
      <w:r>
        <w:rPr>
          <w:rFonts w:cstheme="minorHAnsi"/>
          <w:szCs w:val="24"/>
        </w:rPr>
        <w:t>liczbie pasażerów w wysokości 30,8% w stosunku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do pierwszego kwartału 2024</w:t>
      </w:r>
      <w:r w:rsidR="001318D6">
        <w:rPr>
          <w:rFonts w:cstheme="minorHAnsi"/>
          <w:szCs w:val="24"/>
        </w:rPr>
        <w:t xml:space="preserve"> roku</w:t>
      </w:r>
      <w:r w:rsidRPr="007D383E">
        <w:rPr>
          <w:rFonts w:cstheme="minorHAnsi"/>
          <w:szCs w:val="24"/>
        </w:rPr>
        <w:t>.</w:t>
      </w:r>
      <w:r w:rsidR="001318D6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Miesięczne dynamiki liczby pasażerów w ruchu czarterowym względem </w:t>
      </w:r>
      <w:r w:rsidR="001318D6">
        <w:rPr>
          <w:rFonts w:cstheme="minorHAnsi"/>
          <w:szCs w:val="24"/>
        </w:rPr>
        <w:t>analogicznych miesięcy</w:t>
      </w:r>
      <w:r>
        <w:rPr>
          <w:rFonts w:cstheme="minorHAnsi"/>
          <w:szCs w:val="24"/>
        </w:rPr>
        <w:t xml:space="preserve"> 2024</w:t>
      </w:r>
      <w:r w:rsidRPr="007D383E">
        <w:rPr>
          <w:rFonts w:cstheme="minorHAnsi"/>
          <w:szCs w:val="24"/>
        </w:rPr>
        <w:t xml:space="preserve"> roku wyniosły: </w:t>
      </w:r>
      <w:r w:rsidR="001318D6">
        <w:rPr>
          <w:rFonts w:cstheme="minorHAnsi"/>
          <w:szCs w:val="24"/>
        </w:rPr>
        <w:t>38,5</w:t>
      </w:r>
      <w:r w:rsidRPr="007D383E">
        <w:rPr>
          <w:rFonts w:cstheme="minorHAnsi"/>
          <w:szCs w:val="24"/>
        </w:rPr>
        <w:t xml:space="preserve">% dla </w:t>
      </w:r>
      <w:r>
        <w:rPr>
          <w:rFonts w:cstheme="minorHAnsi"/>
          <w:szCs w:val="24"/>
        </w:rPr>
        <w:t>stycznia</w:t>
      </w:r>
      <w:r w:rsidRPr="007D383E">
        <w:rPr>
          <w:rFonts w:cstheme="minorHAnsi"/>
          <w:szCs w:val="24"/>
        </w:rPr>
        <w:t xml:space="preserve">, </w:t>
      </w:r>
      <w:r w:rsidR="001318D6">
        <w:rPr>
          <w:rFonts w:cstheme="minorHAnsi"/>
          <w:szCs w:val="24"/>
        </w:rPr>
        <w:lastRenderedPageBreak/>
        <w:t>30,2</w:t>
      </w:r>
      <w:r w:rsidRPr="007D383E">
        <w:rPr>
          <w:rFonts w:cstheme="minorHAnsi"/>
          <w:szCs w:val="24"/>
        </w:rPr>
        <w:t xml:space="preserve">% dla </w:t>
      </w:r>
      <w:r>
        <w:rPr>
          <w:rFonts w:cstheme="minorHAnsi"/>
          <w:szCs w:val="24"/>
        </w:rPr>
        <w:t>lutego</w:t>
      </w:r>
      <w:r w:rsidRPr="007D383E">
        <w:rPr>
          <w:rFonts w:cstheme="minorHAnsi"/>
          <w:szCs w:val="24"/>
        </w:rPr>
        <w:t xml:space="preserve"> i </w:t>
      </w:r>
      <w:r w:rsidR="001318D6">
        <w:rPr>
          <w:rFonts w:cstheme="minorHAnsi"/>
          <w:szCs w:val="24"/>
        </w:rPr>
        <w:t>24,3</w:t>
      </w:r>
      <w:r>
        <w:rPr>
          <w:rFonts w:cstheme="minorHAnsi"/>
          <w:szCs w:val="24"/>
        </w:rPr>
        <w:t>% dla marca. Przewoźnicy czarterowi w tym okresie osiągnęli zaś wzrosty miesięczne w wysokości odp</w:t>
      </w:r>
      <w:r w:rsidR="001318D6">
        <w:rPr>
          <w:rFonts w:cstheme="minorHAnsi"/>
          <w:szCs w:val="24"/>
        </w:rPr>
        <w:t>owiednio 28,5%, 22% oraz 25,6%.</w:t>
      </w:r>
    </w:p>
    <w:p w14:paraId="0005D23D" w14:textId="2A79C38C" w:rsidR="00284E0B" w:rsidRPr="007D383E" w:rsidRDefault="00744A54" w:rsidP="00744A54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ruc</w:t>
      </w:r>
      <w:r>
        <w:rPr>
          <w:rFonts w:cstheme="minorHAnsi"/>
          <w:szCs w:val="24"/>
        </w:rPr>
        <w:t xml:space="preserve">hu regularnym odnotowano wzrost </w:t>
      </w:r>
      <w:r w:rsidRPr="007D383E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pierwszym kwartale 2025 roku o 10,2</w:t>
      </w:r>
      <w:r w:rsidRPr="007D383E">
        <w:rPr>
          <w:rFonts w:cstheme="minorHAnsi"/>
          <w:szCs w:val="24"/>
        </w:rPr>
        <w:t xml:space="preserve">% względem </w:t>
      </w:r>
      <w:r>
        <w:rPr>
          <w:rFonts w:cstheme="minorHAnsi"/>
          <w:szCs w:val="24"/>
        </w:rPr>
        <w:t xml:space="preserve">2024 </w:t>
      </w:r>
      <w:r w:rsidRPr="007D383E">
        <w:rPr>
          <w:rFonts w:cstheme="minorHAnsi"/>
          <w:szCs w:val="24"/>
        </w:rPr>
        <w:t>roku</w:t>
      </w:r>
      <w:r>
        <w:rPr>
          <w:rFonts w:cstheme="minorHAnsi"/>
          <w:szCs w:val="24"/>
        </w:rPr>
        <w:t xml:space="preserve">. </w:t>
      </w:r>
      <w:r w:rsidRPr="007D383E">
        <w:rPr>
          <w:rFonts w:cstheme="minorHAnsi"/>
          <w:szCs w:val="24"/>
        </w:rPr>
        <w:t>Miesięczne dynamiki</w:t>
      </w:r>
      <w:r>
        <w:rPr>
          <w:rFonts w:cstheme="minorHAnsi"/>
          <w:szCs w:val="24"/>
        </w:rPr>
        <w:t xml:space="preserve"> tego</w:t>
      </w:r>
      <w:r w:rsidRPr="007D383E">
        <w:rPr>
          <w:rFonts w:cstheme="minorHAnsi"/>
          <w:szCs w:val="24"/>
        </w:rPr>
        <w:t xml:space="preserve"> ruchu pasażerskiego </w:t>
      </w:r>
      <w:r>
        <w:rPr>
          <w:rFonts w:cstheme="minorHAnsi"/>
          <w:szCs w:val="24"/>
        </w:rPr>
        <w:t>w porównaniu ze styczniem, lutym i marcem 2024</w:t>
      </w:r>
      <w:r w:rsidRPr="007D383E">
        <w:rPr>
          <w:rFonts w:cstheme="minorHAnsi"/>
          <w:szCs w:val="24"/>
        </w:rPr>
        <w:t xml:space="preserve"> roku wyniosły odpowiednio: </w:t>
      </w:r>
      <w:r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%, </w:t>
      </w:r>
      <w:r>
        <w:rPr>
          <w:rFonts w:cstheme="minorHAnsi"/>
          <w:szCs w:val="24"/>
        </w:rPr>
        <w:t>12</w:t>
      </w:r>
      <w:r w:rsidRPr="007D383E">
        <w:rPr>
          <w:rFonts w:cstheme="minorHAnsi"/>
          <w:szCs w:val="24"/>
        </w:rPr>
        <w:t xml:space="preserve">% i </w:t>
      </w:r>
      <w:r>
        <w:rPr>
          <w:rFonts w:cstheme="minorHAnsi"/>
          <w:szCs w:val="24"/>
        </w:rPr>
        <w:t>11,3</w:t>
      </w:r>
      <w:r w:rsidR="00172F45">
        <w:rPr>
          <w:rFonts w:cstheme="minorHAnsi"/>
          <w:szCs w:val="24"/>
        </w:rPr>
        <w:t>%</w:t>
      </w:r>
      <w:r w:rsidRPr="007D383E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Zaliczając do tego typu ruchu przewoźników niskokosztowych i sieciowych (wyłączono przewoźników czarterowych)</w:t>
      </w:r>
      <w:r w:rsidRPr="007D383E">
        <w:rPr>
          <w:rFonts w:cstheme="minorHAnsi"/>
          <w:szCs w:val="24"/>
        </w:rPr>
        <w:t xml:space="preserve">, miesięczne wzrosty przewozów względem poszczególnych miesięcy </w:t>
      </w:r>
      <w:r>
        <w:rPr>
          <w:rFonts w:cstheme="minorHAnsi"/>
          <w:szCs w:val="24"/>
        </w:rPr>
        <w:t xml:space="preserve">pierwszego </w:t>
      </w:r>
      <w:r w:rsidRPr="007D383E">
        <w:rPr>
          <w:rFonts w:cstheme="minorHAnsi"/>
          <w:szCs w:val="24"/>
        </w:rPr>
        <w:t>kwartału</w:t>
      </w:r>
      <w:r>
        <w:rPr>
          <w:rFonts w:cstheme="minorHAnsi"/>
          <w:szCs w:val="24"/>
        </w:rPr>
        <w:t xml:space="preserve"> 2024 rok</w:t>
      </w:r>
      <w:r w:rsidR="00172F45">
        <w:rPr>
          <w:rFonts w:cstheme="minorHAnsi"/>
          <w:szCs w:val="24"/>
        </w:rPr>
        <w:t>u wynoszą odpowiednio 6,9%, 12,1</w:t>
      </w:r>
      <w:r w:rsidRPr="007D383E">
        <w:rPr>
          <w:rFonts w:cstheme="minorHAnsi"/>
          <w:szCs w:val="24"/>
        </w:rPr>
        <w:t xml:space="preserve">% oraz </w:t>
      </w:r>
      <w:r>
        <w:rPr>
          <w:rFonts w:cstheme="minorHAnsi"/>
          <w:szCs w:val="24"/>
        </w:rPr>
        <w:t>11,4</w:t>
      </w:r>
      <w:r w:rsidR="00172F45">
        <w:rPr>
          <w:rFonts w:cstheme="minorHAnsi"/>
          <w:szCs w:val="24"/>
        </w:rPr>
        <w:t>%</w:t>
      </w:r>
      <w:r w:rsidRPr="007D383E">
        <w:rPr>
          <w:rFonts w:cstheme="minorHAnsi"/>
          <w:szCs w:val="24"/>
        </w:rPr>
        <w:t>.</w:t>
      </w:r>
    </w:p>
    <w:p w14:paraId="7A5F1AD0" w14:textId="77777777" w:rsidR="002D4F08" w:rsidRPr="007D383E" w:rsidRDefault="002D4F08" w:rsidP="002D4F08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7313777" wp14:editId="72FFF928">
            <wp:extent cx="5760000" cy="2880000"/>
            <wp:effectExtent l="0" t="0" r="0" b="0"/>
            <wp:docPr id="50" name="Wykres 50" descr="Wykres porównuje miesięczne rozłożenie ruchu pasażerskiego w poszczególnych latach w polskich portach lotniczych, z uwzględnieniem analogicznych okresów z poprzednich 2 lat. Dane przedstawione w Tabeli 6.3 poniżej." title="Wykres 6.3 Miesięczne przewozy pasażerski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D94A7A8" w14:textId="6E3E39CD" w:rsidR="002D4F08" w:rsidRPr="007D383E" w:rsidRDefault="002D4F08" w:rsidP="002D4F08">
      <w:pPr>
        <w:pStyle w:val="Legenda"/>
        <w:rPr>
          <w:rFonts w:cstheme="minorHAnsi"/>
          <w:szCs w:val="24"/>
        </w:rPr>
      </w:pPr>
      <w:bookmarkStart w:id="19" w:name="_Toc20053492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Miesięczne przewozy pasażerskie – wykres porównuje miesięczne rozłożenie ruchu pasażerskiego w polskich portach lotniczych, w latach 202</w:t>
      </w:r>
      <w:r w:rsidR="00F23136">
        <w:rPr>
          <w:noProof/>
        </w:rPr>
        <w:t>5</w:t>
      </w:r>
      <w:r w:rsidRPr="007D383E">
        <w:rPr>
          <w:noProof/>
        </w:rPr>
        <w:t xml:space="preserve">, </w:t>
      </w:r>
      <w:r w:rsidR="007A7454" w:rsidRPr="007D383E">
        <w:rPr>
          <w:noProof/>
        </w:rPr>
        <w:t>202</w:t>
      </w:r>
      <w:r w:rsidR="00F23136">
        <w:rPr>
          <w:noProof/>
        </w:rPr>
        <w:t>4</w:t>
      </w:r>
      <w:r w:rsidR="007A7454" w:rsidRPr="007D383E">
        <w:rPr>
          <w:noProof/>
        </w:rPr>
        <w:t xml:space="preserve"> i 202</w:t>
      </w:r>
      <w:r w:rsidR="00F23136">
        <w:rPr>
          <w:noProof/>
        </w:rPr>
        <w:t>3</w:t>
      </w:r>
      <w:r w:rsidRPr="007D383E">
        <w:rPr>
          <w:noProof/>
        </w:rPr>
        <w:t>.</w:t>
      </w:r>
      <w:bookmarkEnd w:id="19"/>
    </w:p>
    <w:tbl>
      <w:tblPr>
        <w:tblStyle w:val="Tabelaanaliza"/>
        <w:tblW w:w="5800" w:type="dxa"/>
        <w:jc w:val="center"/>
        <w:tblLook w:val="04A0" w:firstRow="1" w:lastRow="0" w:firstColumn="1" w:lastColumn="0" w:noHBand="0" w:noVBand="1"/>
        <w:tblCaption w:val="Tabela 6.3 Miesięczne przewozy pasażerskie"/>
        <w:tblDescription w:val="Tabela porównuje miesięczne rozłożenie ruchu pasażerskiego w poszczególnych latach w polskich portach lotniczych, z uwzględnieniem analogicznych okresów z poprzednich 2 lat. "/>
      </w:tblPr>
      <w:tblGrid>
        <w:gridCol w:w="1453"/>
        <w:gridCol w:w="1449"/>
        <w:gridCol w:w="1449"/>
        <w:gridCol w:w="1449"/>
      </w:tblGrid>
      <w:tr w:rsidR="00A2095D" w:rsidRPr="007D383E" w14:paraId="51FC165F" w14:textId="77777777" w:rsidTr="00A2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AF0B6AB" w14:textId="77777777" w:rsidR="00A2095D" w:rsidRPr="007D383E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Miesiąc</w:t>
            </w:r>
          </w:p>
        </w:tc>
        <w:tc>
          <w:tcPr>
            <w:tcW w:w="1449" w:type="dxa"/>
            <w:vAlign w:val="center"/>
            <w:hideMark/>
          </w:tcPr>
          <w:p w14:paraId="3F9C8168" w14:textId="360CCC55" w:rsidR="00A2095D" w:rsidRPr="007D383E" w:rsidRDefault="00F23136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2025</w:t>
            </w:r>
          </w:p>
        </w:tc>
        <w:tc>
          <w:tcPr>
            <w:tcW w:w="1449" w:type="dxa"/>
            <w:vAlign w:val="center"/>
            <w:hideMark/>
          </w:tcPr>
          <w:p w14:paraId="721D50F7" w14:textId="1AAD0ECB" w:rsidR="00A2095D" w:rsidRPr="007D383E" w:rsidRDefault="00F23136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2024</w:t>
            </w:r>
          </w:p>
        </w:tc>
        <w:tc>
          <w:tcPr>
            <w:tcW w:w="1449" w:type="dxa"/>
            <w:vAlign w:val="center"/>
            <w:hideMark/>
          </w:tcPr>
          <w:p w14:paraId="69B7F9EE" w14:textId="755F61D6" w:rsidR="00A2095D" w:rsidRPr="007D383E" w:rsidRDefault="00F23136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2023</w:t>
            </w:r>
          </w:p>
        </w:tc>
      </w:tr>
      <w:tr w:rsidR="00F23136" w:rsidRPr="007D383E" w14:paraId="0909B4FE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EF31E77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</w:t>
            </w:r>
          </w:p>
        </w:tc>
        <w:tc>
          <w:tcPr>
            <w:tcW w:w="1449" w:type="dxa"/>
            <w:hideMark/>
          </w:tcPr>
          <w:p w14:paraId="5FE4A0E8" w14:textId="1A7D21B3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3 884 873</w:t>
            </w:r>
          </w:p>
        </w:tc>
        <w:tc>
          <w:tcPr>
            <w:tcW w:w="1449" w:type="dxa"/>
            <w:hideMark/>
          </w:tcPr>
          <w:p w14:paraId="60FDD0C7" w14:textId="27A4A7DE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3 547 461</w:t>
            </w:r>
          </w:p>
        </w:tc>
        <w:tc>
          <w:tcPr>
            <w:tcW w:w="1449" w:type="dxa"/>
            <w:hideMark/>
          </w:tcPr>
          <w:p w14:paraId="043F3CBC" w14:textId="187F9945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3 074 831</w:t>
            </w:r>
          </w:p>
        </w:tc>
      </w:tr>
      <w:tr w:rsidR="00F23136" w:rsidRPr="007D383E" w14:paraId="252B88CE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54712CB2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449" w:type="dxa"/>
            <w:hideMark/>
          </w:tcPr>
          <w:p w14:paraId="14CC79E4" w14:textId="7839C579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3 991 782</w:t>
            </w:r>
          </w:p>
        </w:tc>
        <w:tc>
          <w:tcPr>
            <w:tcW w:w="1449" w:type="dxa"/>
            <w:hideMark/>
          </w:tcPr>
          <w:p w14:paraId="036CCF69" w14:textId="17752919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3 515 905</w:t>
            </w:r>
          </w:p>
        </w:tc>
        <w:tc>
          <w:tcPr>
            <w:tcW w:w="1449" w:type="dxa"/>
            <w:hideMark/>
          </w:tcPr>
          <w:p w14:paraId="005DAFBD" w14:textId="63CDE929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2 953 532</w:t>
            </w:r>
          </w:p>
        </w:tc>
      </w:tr>
      <w:tr w:rsidR="00F23136" w:rsidRPr="007D383E" w14:paraId="161F9BBD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122C0196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49" w:type="dxa"/>
            <w:hideMark/>
          </w:tcPr>
          <w:p w14:paraId="3D458294" w14:textId="7E3FF4C3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4 413 608</w:t>
            </w:r>
          </w:p>
        </w:tc>
        <w:tc>
          <w:tcPr>
            <w:tcW w:w="1449" w:type="dxa"/>
            <w:hideMark/>
          </w:tcPr>
          <w:p w14:paraId="2EAF2C40" w14:textId="229A30B5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3 929 073</w:t>
            </w:r>
          </w:p>
        </w:tc>
        <w:tc>
          <w:tcPr>
            <w:tcW w:w="1449" w:type="dxa"/>
            <w:hideMark/>
          </w:tcPr>
          <w:p w14:paraId="11416DD7" w14:textId="374447B8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3 385 468</w:t>
            </w:r>
          </w:p>
        </w:tc>
      </w:tr>
      <w:tr w:rsidR="00F23136" w:rsidRPr="007D383E" w14:paraId="539BE109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55A651D7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1449" w:type="dxa"/>
          </w:tcPr>
          <w:p w14:paraId="689E7713" w14:textId="58297D79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224B092B" w14:textId="33AC79D6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4 387 664</w:t>
            </w:r>
          </w:p>
        </w:tc>
        <w:tc>
          <w:tcPr>
            <w:tcW w:w="1449" w:type="dxa"/>
            <w:hideMark/>
          </w:tcPr>
          <w:p w14:paraId="33AB745D" w14:textId="510E68B8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3 955 818</w:t>
            </w:r>
          </w:p>
        </w:tc>
      </w:tr>
      <w:tr w:rsidR="00F23136" w:rsidRPr="007D383E" w14:paraId="66DC89EC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1E14FA87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5</w:t>
            </w:r>
          </w:p>
        </w:tc>
        <w:tc>
          <w:tcPr>
            <w:tcW w:w="1449" w:type="dxa"/>
          </w:tcPr>
          <w:p w14:paraId="25DBC1DF" w14:textId="4AF6D7B7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7AA93DA8" w14:textId="2686BA35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5 297 664</w:t>
            </w:r>
          </w:p>
        </w:tc>
        <w:tc>
          <w:tcPr>
            <w:tcW w:w="1449" w:type="dxa"/>
            <w:hideMark/>
          </w:tcPr>
          <w:p w14:paraId="49AF5855" w14:textId="04DA3365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4 567 802</w:t>
            </w:r>
          </w:p>
        </w:tc>
      </w:tr>
      <w:tr w:rsidR="00F23136" w:rsidRPr="007D383E" w14:paraId="2FDA7B56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5A402CB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6</w:t>
            </w:r>
          </w:p>
        </w:tc>
        <w:tc>
          <w:tcPr>
            <w:tcW w:w="1449" w:type="dxa"/>
          </w:tcPr>
          <w:p w14:paraId="700BFA56" w14:textId="22571C1F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168FB838" w14:textId="3359C439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5 915 448</w:t>
            </w:r>
          </w:p>
        </w:tc>
        <w:tc>
          <w:tcPr>
            <w:tcW w:w="1449" w:type="dxa"/>
            <w:hideMark/>
          </w:tcPr>
          <w:p w14:paraId="229B034E" w14:textId="72FC385F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5 296 896</w:t>
            </w:r>
          </w:p>
        </w:tc>
      </w:tr>
      <w:tr w:rsidR="00F23136" w:rsidRPr="007D383E" w14:paraId="60FC3BE9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6BBA6E54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7</w:t>
            </w:r>
          </w:p>
        </w:tc>
        <w:tc>
          <w:tcPr>
            <w:tcW w:w="1449" w:type="dxa"/>
          </w:tcPr>
          <w:p w14:paraId="6A276F6B" w14:textId="66B347D3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05EA5316" w14:textId="53FFF9B6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6 449 013</w:t>
            </w:r>
          </w:p>
        </w:tc>
        <w:tc>
          <w:tcPr>
            <w:tcW w:w="1449" w:type="dxa"/>
            <w:hideMark/>
          </w:tcPr>
          <w:p w14:paraId="09822619" w14:textId="21F21AE7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5 762 824</w:t>
            </w:r>
          </w:p>
        </w:tc>
      </w:tr>
      <w:tr w:rsidR="00F23136" w:rsidRPr="007D383E" w14:paraId="0DC04903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79347A4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1449" w:type="dxa"/>
          </w:tcPr>
          <w:p w14:paraId="78302AED" w14:textId="3FB3FDE4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AEBC9D2" w14:textId="55DE081D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6 544 767</w:t>
            </w:r>
          </w:p>
        </w:tc>
        <w:tc>
          <w:tcPr>
            <w:tcW w:w="1449" w:type="dxa"/>
            <w:hideMark/>
          </w:tcPr>
          <w:p w14:paraId="72AA63B7" w14:textId="4BEEB2F6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5 772 432</w:t>
            </w:r>
          </w:p>
        </w:tc>
      </w:tr>
      <w:tr w:rsidR="00F23136" w:rsidRPr="007D383E" w14:paraId="6A0A8EB1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24BDB05D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9</w:t>
            </w:r>
          </w:p>
        </w:tc>
        <w:tc>
          <w:tcPr>
            <w:tcW w:w="1449" w:type="dxa"/>
          </w:tcPr>
          <w:p w14:paraId="1C23A313" w14:textId="1A84893C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1E33C7BA" w14:textId="755BC8DC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6 099 322</w:t>
            </w:r>
          </w:p>
        </w:tc>
        <w:tc>
          <w:tcPr>
            <w:tcW w:w="1449" w:type="dxa"/>
            <w:hideMark/>
          </w:tcPr>
          <w:p w14:paraId="4381EA69" w14:textId="6A671EBC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5 430 970</w:t>
            </w:r>
          </w:p>
        </w:tc>
      </w:tr>
      <w:tr w:rsidR="00F23136" w:rsidRPr="007D383E" w14:paraId="088750E8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2110042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10</w:t>
            </w:r>
          </w:p>
        </w:tc>
        <w:tc>
          <w:tcPr>
            <w:tcW w:w="1449" w:type="dxa"/>
          </w:tcPr>
          <w:p w14:paraId="5143A34A" w14:textId="083A6ECE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2ADC3A61" w14:textId="0EEA1C24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5 329 993</w:t>
            </w:r>
          </w:p>
        </w:tc>
        <w:tc>
          <w:tcPr>
            <w:tcW w:w="1449" w:type="dxa"/>
            <w:hideMark/>
          </w:tcPr>
          <w:p w14:paraId="5DB875AD" w14:textId="1108AA07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4 723 881</w:t>
            </w:r>
          </w:p>
        </w:tc>
      </w:tr>
      <w:tr w:rsidR="00F23136" w:rsidRPr="007D383E" w14:paraId="4E00B86F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A378CB4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11</w:t>
            </w:r>
          </w:p>
        </w:tc>
        <w:tc>
          <w:tcPr>
            <w:tcW w:w="1449" w:type="dxa"/>
          </w:tcPr>
          <w:p w14:paraId="501DA69D" w14:textId="27B1F3C3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1C8DAAFB" w14:textId="3F423D21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4 053 695</w:t>
            </w:r>
          </w:p>
        </w:tc>
        <w:tc>
          <w:tcPr>
            <w:tcW w:w="1449" w:type="dxa"/>
            <w:hideMark/>
          </w:tcPr>
          <w:p w14:paraId="01E51FC7" w14:textId="26638222" w:rsidR="00F23136" w:rsidRPr="007D383E" w:rsidRDefault="00F23136" w:rsidP="00F23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F71">
              <w:t>3 603 606</w:t>
            </w:r>
          </w:p>
        </w:tc>
      </w:tr>
      <w:tr w:rsidR="00F23136" w:rsidRPr="007D383E" w14:paraId="6FDBB407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0CB05B70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12</w:t>
            </w:r>
          </w:p>
        </w:tc>
        <w:tc>
          <w:tcPr>
            <w:tcW w:w="1449" w:type="dxa"/>
          </w:tcPr>
          <w:p w14:paraId="64B08B63" w14:textId="52A76E2C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  <w:hideMark/>
          </w:tcPr>
          <w:p w14:paraId="63E03B8A" w14:textId="4E1BE702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4 120 263</w:t>
            </w:r>
          </w:p>
        </w:tc>
        <w:tc>
          <w:tcPr>
            <w:tcW w:w="1449" w:type="dxa"/>
            <w:hideMark/>
          </w:tcPr>
          <w:p w14:paraId="2C591086" w14:textId="2A25EC28" w:rsidR="00F23136" w:rsidRPr="007D383E" w:rsidRDefault="00F23136" w:rsidP="00F231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D2F71">
              <w:t>3 695 745</w:t>
            </w:r>
          </w:p>
        </w:tc>
      </w:tr>
    </w:tbl>
    <w:p w14:paraId="5A965818" w14:textId="3C6D0026" w:rsidR="008537CA" w:rsidRDefault="008537CA" w:rsidP="00F23136">
      <w:pPr>
        <w:pStyle w:val="Legenda"/>
        <w:rPr>
          <w:noProof/>
        </w:rPr>
      </w:pPr>
      <w:bookmarkStart w:id="20" w:name="_Toc20053853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Miesięczne przewozy pasażerskie</w:t>
      </w:r>
      <w:bookmarkEnd w:id="20"/>
    </w:p>
    <w:p w14:paraId="54BE6BC1" w14:textId="77777777" w:rsidR="00EF21A5" w:rsidRPr="007D383E" w:rsidRDefault="00EF21A5" w:rsidP="005A6434">
      <w:pPr>
        <w:pStyle w:val="Nagwek1"/>
      </w:pPr>
      <w:bookmarkStart w:id="21" w:name="_Toc200533893"/>
      <w:r w:rsidRPr="007D383E">
        <w:lastRenderedPageBreak/>
        <w:t>Wyniki portów</w:t>
      </w:r>
      <w:r w:rsidR="00073E90" w:rsidRPr="007D383E">
        <w:t xml:space="preserve"> lotniczych</w:t>
      </w:r>
      <w:bookmarkEnd w:id="21"/>
    </w:p>
    <w:p w14:paraId="2838BF8E" w14:textId="77777777" w:rsidR="00073E90" w:rsidRPr="007D383E" w:rsidRDefault="00073E90" w:rsidP="00B035D6">
      <w:pPr>
        <w:pStyle w:val="Nagwek2"/>
      </w:pPr>
      <w:bookmarkStart w:id="22" w:name="_Toc200533894"/>
      <w:r w:rsidRPr="007D383E">
        <w:t>Cały rynek – porównanie z ACI Europe</w:t>
      </w:r>
      <w:bookmarkEnd w:id="22"/>
    </w:p>
    <w:p w14:paraId="24196867" w14:textId="670AFE8C" w:rsidR="00527143" w:rsidRPr="007D383E" w:rsidRDefault="00744A54" w:rsidP="00EF21A5">
      <w:pPr>
        <w:rPr>
          <w:rFonts w:cstheme="minorHAnsi"/>
          <w:szCs w:val="24"/>
        </w:rPr>
      </w:pPr>
      <w:r w:rsidRPr="004C7727">
        <w:rPr>
          <w:rFonts w:cstheme="minorHAnsi"/>
          <w:szCs w:val="24"/>
        </w:rPr>
        <w:t xml:space="preserve">Dynamika całego ruchu w polskich portach lotniczych w </w:t>
      </w:r>
      <w:r>
        <w:rPr>
          <w:rFonts w:cstheme="minorHAnsi"/>
          <w:szCs w:val="24"/>
        </w:rPr>
        <w:t>pierwszym kwartale 2025 roku w porównaniu analogicznego okresu 2024</w:t>
      </w:r>
      <w:r w:rsidRPr="004C7727">
        <w:rPr>
          <w:rFonts w:cstheme="minorHAnsi"/>
          <w:szCs w:val="24"/>
        </w:rPr>
        <w:t xml:space="preserve"> roku była wyższa od wyników portów ACI Europe</w:t>
      </w:r>
      <w:r w:rsidRPr="004C7727">
        <w:rPr>
          <w:rStyle w:val="Odwoanieprzypisudolnego"/>
          <w:rFonts w:cstheme="minorHAnsi"/>
          <w:szCs w:val="24"/>
        </w:rPr>
        <w:footnoteReference w:id="1"/>
      </w:r>
      <w:r w:rsidRPr="004C7727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7,5</w:t>
      </w:r>
      <w:r w:rsidRPr="004C7727">
        <w:rPr>
          <w:rFonts w:cstheme="minorHAnsi"/>
          <w:szCs w:val="24"/>
        </w:rPr>
        <w:t xml:space="preserve"> pun</w:t>
      </w:r>
      <w:r>
        <w:rPr>
          <w:rFonts w:cstheme="minorHAnsi"/>
          <w:szCs w:val="24"/>
        </w:rPr>
        <w:t>ktu procentowego i wyniosła 11,8</w:t>
      </w:r>
      <w:r w:rsidRPr="004C7727">
        <w:rPr>
          <w:rFonts w:cstheme="minorHAnsi"/>
          <w:szCs w:val="24"/>
        </w:rPr>
        <w:t>%.</w:t>
      </w:r>
    </w:p>
    <w:p w14:paraId="7DC70BA2" w14:textId="77777777" w:rsidR="009477A5" w:rsidRPr="007D383E" w:rsidRDefault="009477A5" w:rsidP="009477A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DE5FBCA" wp14:editId="61065623">
            <wp:extent cx="3600000" cy="1922400"/>
            <wp:effectExtent l="0" t="0" r="635" b="1905"/>
            <wp:docPr id="51" name="Wykres 51" descr="Wykres porównuje łączną dynamikę ruchu w minionych kwartałach roku bieżącego i poprzedniego we wszystkich polskich portach lotniczych z europejskimi portami zrzeszonymi w ACI. Dane przedstawione w Tabeli 7.1 poniżej." title="Wykres 7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8164C59" w14:textId="71265FB2" w:rsidR="009477A5" w:rsidRPr="007D383E" w:rsidRDefault="009477A5" w:rsidP="009477A5">
      <w:pPr>
        <w:pStyle w:val="Legenda"/>
        <w:rPr>
          <w:rFonts w:cstheme="minorHAnsi"/>
          <w:szCs w:val="24"/>
        </w:rPr>
      </w:pPr>
      <w:bookmarkStart w:id="23" w:name="_Toc200534925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całego rynku – wykres porównuje łączną dynamikę ruchu pomiędzy</w:t>
      </w:r>
      <w:r w:rsidR="00E812E4" w:rsidRPr="007D383E">
        <w:rPr>
          <w:noProof/>
        </w:rPr>
        <w:t xml:space="preserve"> </w:t>
      </w:r>
      <w:r w:rsidR="00F23136">
        <w:rPr>
          <w:noProof/>
        </w:rPr>
        <w:t>pierwszymi kwartałami lat</w:t>
      </w:r>
      <w:r w:rsidR="00F23136" w:rsidRPr="00E401F0">
        <w:rPr>
          <w:noProof/>
        </w:rPr>
        <w:t xml:space="preserve"> </w:t>
      </w:r>
      <w:r w:rsidRPr="007D383E">
        <w:rPr>
          <w:noProof/>
        </w:rPr>
        <w:t>202</w:t>
      </w:r>
      <w:r w:rsidR="00F23136">
        <w:rPr>
          <w:noProof/>
        </w:rPr>
        <w:t>5</w:t>
      </w:r>
      <w:r w:rsidRPr="007D383E">
        <w:rPr>
          <w:noProof/>
        </w:rPr>
        <w:t xml:space="preserve"> i 202</w:t>
      </w:r>
      <w:r w:rsidR="00F23136">
        <w:rPr>
          <w:noProof/>
        </w:rPr>
        <w:t>4</w:t>
      </w:r>
      <w:r w:rsidRPr="007D383E">
        <w:rPr>
          <w:noProof/>
        </w:rPr>
        <w:t xml:space="preserve"> we wszystkich polskich portach lotniczych z dynamiką europejskich portów lotniczych zrzeszonych w organizacji ACI.</w:t>
      </w:r>
      <w:bookmarkEnd w:id="23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1 Dynamika całego rynku"/>
        <w:tblDescription w:val="Tabela porównuje łączną dynamikę ruchu w minionych kwartałach roku bieżącego i poprzedniego we wszystkich polskich portach lotniczych z europejskimi portami zrzeszonymi w ACI. "/>
      </w:tblPr>
      <w:tblGrid>
        <w:gridCol w:w="1590"/>
        <w:gridCol w:w="1590"/>
      </w:tblGrid>
      <w:tr w:rsidR="00EF21A5" w:rsidRPr="007D383E" w14:paraId="5E3244CC" w14:textId="77777777" w:rsidTr="0007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6A7BCDF8" w14:textId="77777777" w:rsidR="00EF21A5" w:rsidRPr="007D383E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Cały rynek</w:t>
            </w:r>
          </w:p>
        </w:tc>
        <w:tc>
          <w:tcPr>
            <w:tcW w:w="1590" w:type="dxa"/>
            <w:vAlign w:val="center"/>
            <w:hideMark/>
          </w:tcPr>
          <w:p w14:paraId="2A99828E" w14:textId="77777777" w:rsidR="00EF21A5" w:rsidRPr="007D383E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F23136" w:rsidRPr="007D383E" w14:paraId="17668F7F" w14:textId="77777777" w:rsidTr="00F23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49861D53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hideMark/>
          </w:tcPr>
          <w:p w14:paraId="391FE37A" w14:textId="5438CD41" w:rsidR="00F23136" w:rsidRPr="007D383E" w:rsidRDefault="00F23136" w:rsidP="00F23136">
            <w:pPr>
              <w:jc w:val="center"/>
            </w:pPr>
            <w:r w:rsidRPr="00D905EB">
              <w:t>11,81%</w:t>
            </w:r>
          </w:p>
        </w:tc>
      </w:tr>
      <w:tr w:rsidR="00F23136" w:rsidRPr="007D383E" w14:paraId="722CD73E" w14:textId="77777777" w:rsidTr="00F23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549BBC40" w14:textId="77777777" w:rsidR="00F23136" w:rsidRPr="007D383E" w:rsidRDefault="00F23136" w:rsidP="00F23136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hideMark/>
          </w:tcPr>
          <w:p w14:paraId="7591B72B" w14:textId="51D40B1C" w:rsidR="00F23136" w:rsidRPr="007D383E" w:rsidRDefault="00F23136" w:rsidP="00F23136">
            <w:pPr>
              <w:jc w:val="center"/>
            </w:pPr>
            <w:r w:rsidRPr="00D905EB">
              <w:t>4,30%</w:t>
            </w:r>
          </w:p>
        </w:tc>
      </w:tr>
    </w:tbl>
    <w:p w14:paraId="3D4A51A5" w14:textId="59935E3C" w:rsidR="00073E90" w:rsidRPr="007D383E" w:rsidRDefault="00073E90">
      <w:pPr>
        <w:pStyle w:val="Legenda"/>
      </w:pPr>
      <w:bookmarkStart w:id="24" w:name="_Toc20053853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całego rynku</w:t>
      </w:r>
      <w:bookmarkEnd w:id="24"/>
    </w:p>
    <w:p w14:paraId="672B04F9" w14:textId="2E831A3F" w:rsidR="00EF21A5" w:rsidRPr="007D383E" w:rsidRDefault="00F23136" w:rsidP="00F23136">
      <w:pPr>
        <w:pStyle w:val="Nagwek2"/>
      </w:pPr>
      <w:bookmarkStart w:id="25" w:name="_Toc200533895"/>
      <w:r w:rsidRPr="00F23136">
        <w:t>Porty lotnicze obsługujące 1</w:t>
      </w:r>
      <w:r>
        <w:t>0</w:t>
      </w:r>
      <w:r w:rsidRPr="00F23136">
        <w:t>-</w:t>
      </w:r>
      <w:r>
        <w:t>25</w:t>
      </w:r>
      <w:r w:rsidRPr="00F23136">
        <w:t xml:space="preserve"> mln pasażerów rocznie</w:t>
      </w:r>
      <w:bookmarkEnd w:id="25"/>
    </w:p>
    <w:p w14:paraId="3D2316B7" w14:textId="23C421BD" w:rsidR="00744A54" w:rsidRPr="00A521C2" w:rsidRDefault="00744A54" w:rsidP="00744A54">
      <w:pPr>
        <w:rPr>
          <w:rFonts w:cstheme="minorHAnsi"/>
          <w:szCs w:val="24"/>
        </w:rPr>
      </w:pPr>
      <w:r w:rsidRPr="00A521C2">
        <w:rPr>
          <w:rFonts w:cstheme="minorHAnsi"/>
          <w:szCs w:val="24"/>
        </w:rPr>
        <w:t>Porty lotnicze w przedziale 10-25 mln pasażerów rocznie łącznie (do tej kategorii zaliczane są Lotnisko Chopina w Warszawie oraz Port Lotniczy Kraków-Balice) miały łącznie w pierwszym kwartale 2025 roku wynik lepszy od porównywalnych portów ACI Europe</w:t>
      </w:r>
      <w:r w:rsidRPr="00A521C2">
        <w:rPr>
          <w:rStyle w:val="Odwoanieprzypisudolnego"/>
          <w:rFonts w:cstheme="minorHAnsi"/>
          <w:szCs w:val="24"/>
        </w:rPr>
        <w:footnoteReference w:id="2"/>
      </w:r>
      <w:r w:rsidRPr="00A521C2">
        <w:rPr>
          <w:rFonts w:cstheme="minorHAnsi"/>
          <w:szCs w:val="24"/>
        </w:rPr>
        <w:t xml:space="preserve"> o 9,5 punktu procentowego.</w:t>
      </w:r>
    </w:p>
    <w:p w14:paraId="71B4D6BB" w14:textId="77777777" w:rsidR="009569DF" w:rsidRPr="007D383E" w:rsidRDefault="00744A54" w:rsidP="009569DF">
      <w:pPr>
        <w:rPr>
          <w:rFonts w:cstheme="minorHAnsi"/>
          <w:szCs w:val="24"/>
        </w:rPr>
      </w:pPr>
      <w:r w:rsidRPr="00A521C2">
        <w:rPr>
          <w:rFonts w:cstheme="minorHAnsi"/>
          <w:szCs w:val="24"/>
        </w:rPr>
        <w:t>Lotnisko Chopina w Warszawie odnotowało w pierwszym kwartale 2025 roku wzrost ruchu pasażerskiego w wysokości 12,5% w stosunku do analogicznego okresu 2024 roku</w:t>
      </w:r>
      <w:r w:rsidR="00172F45">
        <w:rPr>
          <w:rFonts w:cstheme="minorHAnsi"/>
          <w:szCs w:val="24"/>
        </w:rPr>
        <w:t xml:space="preserve">, a więc obsłużyło o 534,4 tys. pasażerów więcej. Z kolei </w:t>
      </w:r>
      <w:r w:rsidRPr="00A521C2">
        <w:rPr>
          <w:rFonts w:cstheme="minorHAnsi"/>
          <w:szCs w:val="24"/>
        </w:rPr>
        <w:t xml:space="preserve">dynamika ruchu </w:t>
      </w:r>
      <w:r w:rsidR="00172F45">
        <w:rPr>
          <w:rFonts w:cstheme="minorHAnsi"/>
          <w:szCs w:val="24"/>
        </w:rPr>
        <w:t>Portu Lotniczego Kraków-</w:t>
      </w:r>
      <w:r w:rsidR="00172F45" w:rsidRPr="00A521C2">
        <w:rPr>
          <w:rFonts w:cstheme="minorHAnsi"/>
          <w:szCs w:val="24"/>
        </w:rPr>
        <w:t xml:space="preserve">Balice </w:t>
      </w:r>
      <w:r w:rsidRPr="00A521C2">
        <w:rPr>
          <w:rFonts w:cstheme="minorHAnsi"/>
          <w:szCs w:val="24"/>
        </w:rPr>
        <w:t>w pierwszym kwartale 2025 r. wyniosła 21,9%,</w:t>
      </w:r>
      <w:r w:rsidR="00172F45">
        <w:rPr>
          <w:rFonts w:cstheme="minorHAnsi"/>
          <w:szCs w:val="24"/>
        </w:rPr>
        <w:t xml:space="preserve"> a port obsłużył o 473,4 tys. pasażerów więcej niż w analogicznym okresie 2024 r</w:t>
      </w:r>
      <w:r w:rsidRPr="00A521C2">
        <w:rPr>
          <w:rFonts w:cstheme="minorHAnsi"/>
          <w:szCs w:val="24"/>
        </w:rPr>
        <w:t>.</w:t>
      </w:r>
      <w:r w:rsidR="00083FB3" w:rsidRPr="007D383E">
        <w:rPr>
          <w:rFonts w:cstheme="minorHAnsi"/>
          <w:szCs w:val="24"/>
        </w:rPr>
        <w:t xml:space="preserve"> </w:t>
      </w:r>
      <w:r w:rsidR="009569DF">
        <w:rPr>
          <w:rFonts w:cstheme="minorHAnsi"/>
          <w:szCs w:val="24"/>
        </w:rPr>
        <w:t>Łącznie na L</w:t>
      </w:r>
      <w:r w:rsidR="009569DF" w:rsidRPr="007D383E">
        <w:rPr>
          <w:rFonts w:cstheme="minorHAnsi"/>
          <w:szCs w:val="24"/>
        </w:rPr>
        <w:t>otnisku</w:t>
      </w:r>
      <w:r w:rsidR="009569DF">
        <w:rPr>
          <w:rFonts w:cstheme="minorHAnsi"/>
          <w:szCs w:val="24"/>
        </w:rPr>
        <w:t xml:space="preserve"> Chopina</w:t>
      </w:r>
      <w:r w:rsidR="009569DF" w:rsidRPr="007D383E">
        <w:rPr>
          <w:rFonts w:cstheme="minorHAnsi"/>
          <w:szCs w:val="24"/>
        </w:rPr>
        <w:t xml:space="preserve"> obsłużono </w:t>
      </w:r>
      <w:r w:rsidR="009569DF">
        <w:rPr>
          <w:rFonts w:cstheme="minorHAnsi"/>
          <w:szCs w:val="24"/>
        </w:rPr>
        <w:t xml:space="preserve">w </w:t>
      </w:r>
      <w:r w:rsidR="009569DF">
        <w:rPr>
          <w:rFonts w:cstheme="minorHAnsi"/>
          <w:szCs w:val="24"/>
        </w:rPr>
        <w:lastRenderedPageBreak/>
        <w:t>pierwszym kwartale 2025 roku 4,8</w:t>
      </w:r>
      <w:r w:rsidR="009569DF" w:rsidRPr="007D383E">
        <w:rPr>
          <w:rFonts w:cstheme="minorHAnsi"/>
          <w:szCs w:val="24"/>
        </w:rPr>
        <w:t xml:space="preserve"> mln pasażerów</w:t>
      </w:r>
      <w:r w:rsidR="009569DF">
        <w:rPr>
          <w:rFonts w:cstheme="minorHAnsi"/>
          <w:szCs w:val="24"/>
        </w:rPr>
        <w:t>, a w Porcie Lotniczym Kraków-Balice – 2,6 mln</w:t>
      </w:r>
      <w:r w:rsidR="009569DF" w:rsidRPr="007D383E">
        <w:rPr>
          <w:rFonts w:cstheme="minorHAnsi"/>
          <w:szCs w:val="24"/>
        </w:rPr>
        <w:t xml:space="preserve">. </w:t>
      </w:r>
    </w:p>
    <w:p w14:paraId="0F948330" w14:textId="7823F55D" w:rsidR="00172F45" w:rsidRDefault="00172F45" w:rsidP="00083FB3">
      <w:pPr>
        <w:rPr>
          <w:rFonts w:cstheme="minorHAnsi"/>
          <w:szCs w:val="24"/>
        </w:rPr>
      </w:pPr>
      <w:r>
        <w:rPr>
          <w:rFonts w:cstheme="minorHAnsi"/>
          <w:szCs w:val="24"/>
        </w:rPr>
        <w:t>W ruchu regularnym warszawskie lotnisko odnotowało wzrost w wysokości 11,9%, natomiast w Krakowie wzrost ten wyniósł 21,7%. Ruch czarterowy wzrósł na Lotnisku Chopina o 18%, natomiast w Porcie Lotniczym Kraków-Balice wzrósł aż o 52,2% względem pierwszego kwartału 2024 r.</w:t>
      </w:r>
    </w:p>
    <w:p w14:paraId="692ACB07" w14:textId="59344631" w:rsidR="00083FB3" w:rsidRPr="007D383E" w:rsidRDefault="00172F45" w:rsidP="00083FB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Poszczególne typy przewoźników osiągnęły na lotnisku w Warszawie następujące wyniki w porównaniu do pierwszego kwartału 2024 roku: sieciowi – </w:t>
      </w:r>
      <w:r w:rsidR="009569DF">
        <w:rPr>
          <w:rFonts w:cstheme="minorHAnsi"/>
          <w:szCs w:val="24"/>
        </w:rPr>
        <w:t>10,2</w:t>
      </w:r>
      <w:r>
        <w:rPr>
          <w:rFonts w:cstheme="minorHAnsi"/>
          <w:szCs w:val="24"/>
        </w:rPr>
        <w:t xml:space="preserve">%, niskokosztowi – </w:t>
      </w:r>
      <w:r w:rsidR="009569DF">
        <w:rPr>
          <w:rFonts w:cstheme="minorHAnsi"/>
          <w:szCs w:val="24"/>
        </w:rPr>
        <w:t>16,5</w:t>
      </w:r>
      <w:r>
        <w:rPr>
          <w:rFonts w:cstheme="minorHAnsi"/>
          <w:szCs w:val="24"/>
        </w:rPr>
        <w:t xml:space="preserve">% oraz czarterowi – </w:t>
      </w:r>
      <w:r w:rsidR="009569DF">
        <w:rPr>
          <w:rFonts w:cstheme="minorHAnsi"/>
          <w:szCs w:val="24"/>
        </w:rPr>
        <w:t>19,5</w:t>
      </w:r>
      <w:r>
        <w:rPr>
          <w:rFonts w:cstheme="minorHAnsi"/>
          <w:szCs w:val="24"/>
        </w:rPr>
        <w:t xml:space="preserve">%. Dla Portu Lotniczego Kraków-Balice wyniki te przedstawiały się następująco: sieciowi – </w:t>
      </w:r>
      <w:r w:rsidR="009569DF">
        <w:rPr>
          <w:rFonts w:cstheme="minorHAnsi"/>
          <w:szCs w:val="24"/>
        </w:rPr>
        <w:t>13,8</w:t>
      </w:r>
      <w:r>
        <w:rPr>
          <w:rFonts w:cstheme="minorHAnsi"/>
          <w:szCs w:val="24"/>
        </w:rPr>
        <w:t xml:space="preserve">%, niskokosztowi – </w:t>
      </w:r>
      <w:r w:rsidR="009569DF">
        <w:rPr>
          <w:rFonts w:cstheme="minorHAnsi"/>
          <w:szCs w:val="24"/>
        </w:rPr>
        <w:t>23,5</w:t>
      </w:r>
      <w:r>
        <w:rPr>
          <w:rFonts w:cstheme="minorHAnsi"/>
          <w:szCs w:val="24"/>
        </w:rPr>
        <w:t xml:space="preserve">%, czarterowi – </w:t>
      </w:r>
      <w:r w:rsidR="009569DF">
        <w:rPr>
          <w:rFonts w:cstheme="minorHAnsi"/>
          <w:szCs w:val="24"/>
        </w:rPr>
        <w:t>39,4</w:t>
      </w:r>
      <w:r>
        <w:rPr>
          <w:rFonts w:cstheme="minorHAnsi"/>
          <w:szCs w:val="24"/>
        </w:rPr>
        <w:t>%.</w:t>
      </w:r>
    </w:p>
    <w:p w14:paraId="09539AD1" w14:textId="52D29F48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 pasażerów na warszawskim lotnisku w </w:t>
      </w:r>
      <w:r w:rsidR="009569DF">
        <w:rPr>
          <w:rFonts w:cstheme="minorHAnsi"/>
          <w:szCs w:val="24"/>
        </w:rPr>
        <w:t xml:space="preserve">pierwszym kwartale </w:t>
      </w:r>
      <w:r w:rsidRPr="007D383E">
        <w:rPr>
          <w:rFonts w:cstheme="minorHAnsi"/>
          <w:szCs w:val="24"/>
        </w:rPr>
        <w:t>202</w:t>
      </w:r>
      <w:r w:rsidR="009569DF">
        <w:rPr>
          <w:rFonts w:cstheme="minorHAnsi"/>
          <w:szCs w:val="24"/>
        </w:rPr>
        <w:t>5</w:t>
      </w:r>
      <w:r>
        <w:rPr>
          <w:rFonts w:cstheme="minorHAnsi"/>
          <w:szCs w:val="24"/>
        </w:rPr>
        <w:t xml:space="preserve"> roku przewiózł PLL </w:t>
      </w:r>
      <w:r w:rsidRPr="007D383E">
        <w:rPr>
          <w:rFonts w:cstheme="minorHAnsi"/>
          <w:szCs w:val="24"/>
        </w:rPr>
        <w:t>LOT, a następnie Wizz Air i Enter Air.</w:t>
      </w:r>
      <w:r w:rsidR="009569DF">
        <w:rPr>
          <w:rFonts w:cstheme="minorHAnsi"/>
          <w:szCs w:val="24"/>
        </w:rPr>
        <w:t xml:space="preserve"> W Krakowie byli to Ryanair, Wizz Air oraz easyJet.</w:t>
      </w:r>
    </w:p>
    <w:p w14:paraId="6766F4A1" w14:textId="77777777" w:rsidR="009477A5" w:rsidRPr="007D383E" w:rsidRDefault="009477A5" w:rsidP="009477A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0AC7CC9" wp14:editId="4B23580D">
            <wp:extent cx="3600000" cy="1922400"/>
            <wp:effectExtent l="0" t="0" r="635" b="1905"/>
            <wp:docPr id="52" name="Wykres 52" descr="Wykres porównuje dynamikę ruchu w polskich portach lotniczych obsługujących rocznie 10-25 mln pasażerów z porównywalnymi portami zrzeszonymi w ACI w minionych kwartałach roku bieżącego i poprzedniego. Dane przedstawione w Tabeli 7.2 poniżej." title="Wykres 7.2 Dynamika portów obsługujących 10-25 mln pasażerów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3C3A0DF" w14:textId="5E9F43A5" w:rsidR="009477A5" w:rsidRPr="007D383E" w:rsidRDefault="009477A5" w:rsidP="009477A5">
      <w:pPr>
        <w:pStyle w:val="Legenda"/>
        <w:rPr>
          <w:rFonts w:cstheme="minorHAnsi"/>
          <w:szCs w:val="24"/>
        </w:rPr>
      </w:pPr>
      <w:bookmarkStart w:id="26" w:name="_Toc200534926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</w:t>
      </w:r>
      <w:r w:rsidR="00F23136" w:rsidRPr="007D383E">
        <w:rPr>
          <w:noProof/>
        </w:rPr>
        <w:t>portów obsługujących 1</w:t>
      </w:r>
      <w:r w:rsidR="00F23136">
        <w:rPr>
          <w:noProof/>
        </w:rPr>
        <w:t>0</w:t>
      </w:r>
      <w:r w:rsidR="00F23136" w:rsidRPr="007D383E">
        <w:rPr>
          <w:noProof/>
        </w:rPr>
        <w:t>-</w:t>
      </w:r>
      <w:r w:rsidR="00F23136">
        <w:rPr>
          <w:noProof/>
        </w:rPr>
        <w:t>25</w:t>
      </w:r>
      <w:r w:rsidR="00F23136" w:rsidRPr="007D383E">
        <w:rPr>
          <w:noProof/>
        </w:rPr>
        <w:t xml:space="preserve"> mln pasażerów </w:t>
      </w:r>
      <w:r w:rsidRPr="007D383E">
        <w:rPr>
          <w:noProof/>
        </w:rPr>
        <w:t xml:space="preserve">– wykres porównuje dynamikę ruchu </w:t>
      </w:r>
      <w:r w:rsidR="009732B1" w:rsidRPr="00E401F0">
        <w:rPr>
          <w:noProof/>
        </w:rPr>
        <w:t xml:space="preserve">w </w:t>
      </w:r>
      <w:r w:rsidR="009732B1">
        <w:rPr>
          <w:noProof/>
        </w:rPr>
        <w:t xml:space="preserve">pierwszym kwartale </w:t>
      </w:r>
      <w:r w:rsidR="009732B1" w:rsidRPr="00E401F0">
        <w:rPr>
          <w:noProof/>
        </w:rPr>
        <w:t>202</w:t>
      </w:r>
      <w:r w:rsidR="009732B1">
        <w:rPr>
          <w:noProof/>
        </w:rPr>
        <w:t>5</w:t>
      </w:r>
      <w:r w:rsidR="009732B1" w:rsidRPr="00E401F0">
        <w:rPr>
          <w:noProof/>
        </w:rPr>
        <w:t xml:space="preserve"> i 202</w:t>
      </w:r>
      <w:r w:rsidR="009732B1">
        <w:rPr>
          <w:noProof/>
        </w:rPr>
        <w:t>4</w:t>
      </w:r>
      <w:r w:rsidR="009732B1" w:rsidRPr="00E401F0">
        <w:rPr>
          <w:noProof/>
        </w:rPr>
        <w:t xml:space="preserve"> roku w polskich portach </w:t>
      </w:r>
      <w:r w:rsidR="009732B1">
        <w:rPr>
          <w:noProof/>
        </w:rPr>
        <w:t>lotniczych obsługujących rocznie 10-25</w:t>
      </w:r>
      <w:r w:rsidR="009732B1" w:rsidRPr="00E401F0">
        <w:rPr>
          <w:noProof/>
        </w:rPr>
        <w:t xml:space="preserve"> mln pasażerów</w:t>
      </w:r>
      <w:r w:rsidR="009732B1" w:rsidRPr="007D383E">
        <w:rPr>
          <w:noProof/>
        </w:rPr>
        <w:t xml:space="preserve"> </w:t>
      </w:r>
      <w:r w:rsidRPr="007D383E">
        <w:rPr>
          <w:noProof/>
        </w:rPr>
        <w:t>z porównywalnymi portami zrzeszonymi w</w:t>
      </w:r>
      <w:r w:rsidR="000D186C">
        <w:rPr>
          <w:noProof/>
        </w:rPr>
        <w:t xml:space="preserve"> ACI</w:t>
      </w:r>
      <w:r w:rsidRPr="007D383E">
        <w:rPr>
          <w:noProof/>
        </w:rPr>
        <w:t>.</w:t>
      </w:r>
      <w:bookmarkEnd w:id="26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7.2 Dynamika portów obsługujących 10-25 mln pasażerów"/>
        <w:tblDescription w:val="Tabela porównuje dynamikę ruchu w portach lotniczych obsługujących 10-25 mln pasażerów rocznie z porównywalnymi portami zrzeszonymi w ACI w minionych kwartałach roku bieżącego i poprzedniego."/>
      </w:tblPr>
      <w:tblGrid>
        <w:gridCol w:w="1807"/>
        <w:gridCol w:w="1046"/>
      </w:tblGrid>
      <w:tr w:rsidR="00527143" w:rsidRPr="007D383E" w14:paraId="4C0F9A22" w14:textId="77777777" w:rsidTr="0037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vAlign w:val="center"/>
            <w:hideMark/>
          </w:tcPr>
          <w:p w14:paraId="32FF89CB" w14:textId="128932C4" w:rsidR="00527143" w:rsidRPr="007D383E" w:rsidRDefault="00372455" w:rsidP="00372455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Porty 10-25</w:t>
            </w:r>
            <w:r w:rsidRPr="00E401F0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0" w:type="auto"/>
            <w:vAlign w:val="center"/>
            <w:hideMark/>
          </w:tcPr>
          <w:p w14:paraId="1055F11D" w14:textId="77777777" w:rsidR="00527143" w:rsidRPr="007D383E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372455" w:rsidRPr="007D383E" w14:paraId="74F743B3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vAlign w:val="center"/>
            <w:hideMark/>
          </w:tcPr>
          <w:p w14:paraId="0D98F7D3" w14:textId="77777777" w:rsidR="00372455" w:rsidRPr="007D383E" w:rsidRDefault="00372455" w:rsidP="0037245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0" w:type="auto"/>
            <w:hideMark/>
          </w:tcPr>
          <w:p w14:paraId="40681B97" w14:textId="2EEF6988" w:rsidR="00372455" w:rsidRPr="007D383E" w:rsidRDefault="00372455" w:rsidP="00372455">
            <w:pPr>
              <w:jc w:val="center"/>
            </w:pPr>
            <w:r w:rsidRPr="00D2110D">
              <w:t>15,60%</w:t>
            </w:r>
          </w:p>
        </w:tc>
      </w:tr>
      <w:tr w:rsidR="00372455" w:rsidRPr="007D383E" w14:paraId="5E776B98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vAlign w:val="center"/>
            <w:hideMark/>
          </w:tcPr>
          <w:p w14:paraId="4CED0DAE" w14:textId="77777777" w:rsidR="00372455" w:rsidRPr="007D383E" w:rsidRDefault="00372455" w:rsidP="0037245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0" w:type="auto"/>
            <w:hideMark/>
          </w:tcPr>
          <w:p w14:paraId="3D32BC87" w14:textId="53D1206F" w:rsidR="00372455" w:rsidRPr="007D383E" w:rsidRDefault="00372455" w:rsidP="00372455">
            <w:pPr>
              <w:jc w:val="center"/>
            </w:pPr>
            <w:r w:rsidRPr="00D2110D">
              <w:t>6,10%</w:t>
            </w:r>
          </w:p>
        </w:tc>
      </w:tr>
    </w:tbl>
    <w:p w14:paraId="26679D48" w14:textId="3652531C" w:rsidR="00924AFC" w:rsidRPr="007D383E" w:rsidRDefault="00924AFC" w:rsidP="0089169E">
      <w:pPr>
        <w:pStyle w:val="Legenda"/>
        <w:spacing w:after="2880"/>
      </w:pPr>
      <w:bookmarkStart w:id="27" w:name="_Toc20053853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</w:t>
      </w:r>
      <w:r w:rsidR="009732B1">
        <w:rPr>
          <w:noProof/>
        </w:rPr>
        <w:t>portów obsługujących 10-25</w:t>
      </w:r>
      <w:r w:rsidR="009732B1" w:rsidRPr="00E401F0">
        <w:rPr>
          <w:noProof/>
        </w:rPr>
        <w:t xml:space="preserve"> mln pasażerów</w:t>
      </w:r>
      <w:bookmarkEnd w:id="27"/>
    </w:p>
    <w:p w14:paraId="70099EAE" w14:textId="77777777" w:rsidR="00073E90" w:rsidRPr="007D383E" w:rsidRDefault="00A2095D" w:rsidP="00073E90">
      <w:pPr>
        <w:pStyle w:val="Nagwek2"/>
      </w:pPr>
      <w:bookmarkStart w:id="28" w:name="_Toc170379363"/>
      <w:bookmarkStart w:id="29" w:name="_Toc200533896"/>
      <w:r w:rsidRPr="007D383E">
        <w:lastRenderedPageBreak/>
        <w:t>Porty lotnicze obsługujące 1-10 mln pasażerów rocznie</w:t>
      </w:r>
      <w:bookmarkEnd w:id="28"/>
      <w:bookmarkEnd w:id="29"/>
    </w:p>
    <w:p w14:paraId="730D1E3E" w14:textId="6B264740" w:rsidR="00083FB3" w:rsidRPr="007D383E" w:rsidRDefault="00083FB3" w:rsidP="00083FB3">
      <w:pPr>
        <w:rPr>
          <w:rFonts w:cstheme="minorHAnsi"/>
          <w:szCs w:val="24"/>
        </w:rPr>
      </w:pPr>
      <w:r w:rsidRPr="001C5E5F">
        <w:rPr>
          <w:rFonts w:cstheme="minorHAnsi"/>
          <w:szCs w:val="24"/>
        </w:rPr>
        <w:t>Porty regionalne w</w:t>
      </w:r>
      <w:r w:rsidRPr="007D383E">
        <w:rPr>
          <w:rFonts w:cstheme="minorHAnsi"/>
          <w:szCs w:val="24"/>
        </w:rPr>
        <w:t xml:space="preserve"> przedziale 1-10 mln pasażerów rocznie łącznie miały </w:t>
      </w:r>
      <w:r w:rsidR="005905D4">
        <w:rPr>
          <w:rFonts w:cstheme="minorHAnsi"/>
          <w:szCs w:val="24"/>
        </w:rPr>
        <w:t xml:space="preserve">w </w:t>
      </w:r>
      <w:r w:rsidR="009569DF">
        <w:rPr>
          <w:rFonts w:cstheme="minorHAnsi"/>
          <w:szCs w:val="24"/>
        </w:rPr>
        <w:t xml:space="preserve">pierwszym kwartale </w:t>
      </w:r>
      <w:r w:rsidR="005905D4">
        <w:rPr>
          <w:rFonts w:cstheme="minorHAnsi"/>
          <w:szCs w:val="24"/>
        </w:rPr>
        <w:t>202</w:t>
      </w:r>
      <w:r w:rsidR="009569DF">
        <w:rPr>
          <w:rFonts w:cstheme="minorHAnsi"/>
          <w:szCs w:val="24"/>
        </w:rPr>
        <w:t>5</w:t>
      </w:r>
      <w:r w:rsidR="005905D4">
        <w:rPr>
          <w:rFonts w:cstheme="minorHAnsi"/>
          <w:szCs w:val="24"/>
        </w:rPr>
        <w:t xml:space="preserve"> roku </w:t>
      </w:r>
      <w:r w:rsidRPr="007D383E">
        <w:rPr>
          <w:rFonts w:cstheme="minorHAnsi"/>
          <w:szCs w:val="24"/>
        </w:rPr>
        <w:t>wynik lepszy od porównywalnych portów ACI Europe</w:t>
      </w:r>
      <w:r w:rsidRPr="007D383E">
        <w:rPr>
          <w:rStyle w:val="Odwoanieprzypisudolnego"/>
          <w:rFonts w:cstheme="minorHAnsi"/>
          <w:szCs w:val="24"/>
        </w:rPr>
        <w:footnoteReference w:id="3"/>
      </w:r>
      <w:r w:rsidRPr="007D383E">
        <w:rPr>
          <w:rFonts w:cstheme="minorHAnsi"/>
          <w:szCs w:val="24"/>
        </w:rPr>
        <w:t xml:space="preserve"> o </w:t>
      </w:r>
      <w:r w:rsidR="00236B0F">
        <w:rPr>
          <w:rFonts w:cstheme="minorHAnsi"/>
          <w:szCs w:val="24"/>
        </w:rPr>
        <w:t>3,6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. Do tej kategorii zaliczane </w:t>
      </w:r>
      <w:r w:rsidR="009569DF">
        <w:rPr>
          <w:rFonts w:cstheme="minorHAnsi"/>
          <w:szCs w:val="24"/>
        </w:rPr>
        <w:t>są w 2025</w:t>
      </w:r>
      <w:r w:rsidR="005905D4">
        <w:rPr>
          <w:rFonts w:cstheme="minorHAnsi"/>
          <w:szCs w:val="24"/>
        </w:rPr>
        <w:t xml:space="preserve"> roku</w:t>
      </w:r>
      <w:r w:rsidRPr="007D383E">
        <w:rPr>
          <w:rFonts w:cstheme="minorHAnsi"/>
          <w:szCs w:val="24"/>
        </w:rPr>
        <w:t xml:space="preserve"> porty lotnicze: Gdańsk im. Lecha Wałęsy, Katowice-Pyrzowice, Wro</w:t>
      </w:r>
      <w:r w:rsidR="00372455">
        <w:rPr>
          <w:rFonts w:cstheme="minorHAnsi"/>
          <w:szCs w:val="24"/>
        </w:rPr>
        <w:t xml:space="preserve">cław-Strachowice, Poznań-Ławica, </w:t>
      </w:r>
      <w:r w:rsidRPr="007D383E">
        <w:rPr>
          <w:rFonts w:cstheme="minorHAnsi"/>
          <w:szCs w:val="24"/>
        </w:rPr>
        <w:t>Warszawa-Modlin</w:t>
      </w:r>
      <w:r w:rsidR="00372455">
        <w:rPr>
          <w:rFonts w:cstheme="minorHAnsi"/>
          <w:szCs w:val="24"/>
        </w:rPr>
        <w:t xml:space="preserve"> oraz Rzeszów-Jasionka</w:t>
      </w:r>
      <w:r w:rsidRPr="007D383E">
        <w:rPr>
          <w:rFonts w:cstheme="minorHAnsi"/>
          <w:szCs w:val="24"/>
        </w:rPr>
        <w:t>.</w:t>
      </w:r>
    </w:p>
    <w:p w14:paraId="594E2BEE" w14:textId="488A44F5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portach lotniczych tej wielkości w </w:t>
      </w:r>
      <w:r w:rsidR="009569DF">
        <w:rPr>
          <w:rFonts w:cstheme="minorHAnsi"/>
          <w:szCs w:val="24"/>
        </w:rPr>
        <w:t xml:space="preserve">pierwszym kwartale 2025 </w:t>
      </w:r>
      <w:r w:rsidRPr="007D383E">
        <w:rPr>
          <w:rFonts w:cstheme="minorHAnsi"/>
          <w:szCs w:val="24"/>
        </w:rPr>
        <w:t xml:space="preserve">roku najwięcej pasażerów obsłużyli </w:t>
      </w:r>
      <w:r w:rsidR="00262C77">
        <w:rPr>
          <w:rFonts w:cstheme="minorHAnsi"/>
          <w:szCs w:val="24"/>
        </w:rPr>
        <w:t xml:space="preserve">ponownie </w:t>
      </w:r>
      <w:r w:rsidRPr="007D383E">
        <w:rPr>
          <w:rFonts w:cstheme="minorHAnsi"/>
          <w:szCs w:val="24"/>
        </w:rPr>
        <w:t>przewoźnicy Ryanair i Wizz Air. Łącznie obydwaj przewoźnicy niskokosztowi mieli w omawianym okresie udział w rynku</w:t>
      </w:r>
      <w:r w:rsidR="00254733">
        <w:rPr>
          <w:rFonts w:cstheme="minorHAnsi"/>
          <w:szCs w:val="24"/>
        </w:rPr>
        <w:t xml:space="preserve"> w</w:t>
      </w:r>
      <w:r w:rsidRPr="007D383E">
        <w:rPr>
          <w:rFonts w:cstheme="minorHAnsi"/>
          <w:szCs w:val="24"/>
        </w:rPr>
        <w:t xml:space="preserve"> </w:t>
      </w:r>
      <w:r w:rsidR="003D3924">
        <w:rPr>
          <w:rFonts w:cstheme="minorHAnsi"/>
          <w:szCs w:val="24"/>
        </w:rPr>
        <w:t>ww. portach regionalnych</w:t>
      </w:r>
      <w:r w:rsidRPr="007D383E">
        <w:rPr>
          <w:rFonts w:cstheme="minorHAnsi"/>
          <w:szCs w:val="24"/>
        </w:rPr>
        <w:t xml:space="preserve"> w wysokości </w:t>
      </w:r>
      <w:r w:rsidR="00262C77">
        <w:rPr>
          <w:rFonts w:cstheme="minorHAnsi"/>
          <w:szCs w:val="24"/>
        </w:rPr>
        <w:t>70,3</w:t>
      </w:r>
      <w:r w:rsidRPr="007D383E">
        <w:rPr>
          <w:rFonts w:cstheme="minorHAnsi"/>
          <w:szCs w:val="24"/>
        </w:rPr>
        <w:t>%, a więc mniejszy o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3,</w:t>
      </w:r>
      <w:r w:rsidR="00262C77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 stosunku do </w:t>
      </w:r>
      <w:r w:rsidR="00262C77">
        <w:rPr>
          <w:rFonts w:cstheme="minorHAnsi"/>
          <w:szCs w:val="24"/>
        </w:rPr>
        <w:t xml:space="preserve">pierwszego kwartału </w:t>
      </w:r>
      <w:r w:rsidR="00AA7D10">
        <w:rPr>
          <w:rFonts w:cstheme="minorHAnsi"/>
          <w:szCs w:val="24"/>
        </w:rPr>
        <w:t>202</w:t>
      </w:r>
      <w:r w:rsidR="00262C77">
        <w:rPr>
          <w:rFonts w:cstheme="minorHAnsi"/>
          <w:szCs w:val="24"/>
        </w:rPr>
        <w:t>4</w:t>
      </w:r>
      <w:r w:rsidR="00AA7D10">
        <w:rPr>
          <w:rFonts w:cstheme="minorHAnsi"/>
          <w:szCs w:val="24"/>
        </w:rPr>
        <w:t xml:space="preserve"> roku</w:t>
      </w:r>
      <w:r w:rsidRPr="007D383E">
        <w:rPr>
          <w:rFonts w:cstheme="minorHAnsi"/>
          <w:szCs w:val="24"/>
        </w:rPr>
        <w:t>. Ob</w:t>
      </w:r>
      <w:r w:rsidR="003D3924">
        <w:rPr>
          <w:rFonts w:cstheme="minorHAnsi"/>
          <w:szCs w:val="24"/>
        </w:rPr>
        <w:t>aj</w:t>
      </w:r>
      <w:r w:rsidRPr="007D383E">
        <w:rPr>
          <w:rFonts w:cstheme="minorHAnsi"/>
          <w:szCs w:val="24"/>
        </w:rPr>
        <w:t xml:space="preserve"> przewoźnicy łącznie obsłużyli w portach</w:t>
      </w:r>
      <w:r w:rsidR="00AA7D10">
        <w:rPr>
          <w:rFonts w:cstheme="minorHAnsi"/>
          <w:szCs w:val="24"/>
        </w:rPr>
        <w:t xml:space="preserve"> tej wielkości</w:t>
      </w:r>
      <w:r w:rsidRPr="007D383E">
        <w:rPr>
          <w:rFonts w:cstheme="minorHAnsi"/>
          <w:szCs w:val="24"/>
        </w:rPr>
        <w:t xml:space="preserve"> </w:t>
      </w:r>
      <w:r w:rsidR="00262C77">
        <w:rPr>
          <w:rFonts w:cstheme="minorHAnsi"/>
          <w:szCs w:val="24"/>
        </w:rPr>
        <w:t>3,1</w:t>
      </w:r>
      <w:r w:rsidRPr="007D383E">
        <w:rPr>
          <w:rFonts w:cstheme="minorHAnsi"/>
          <w:szCs w:val="24"/>
        </w:rPr>
        <w:t xml:space="preserve"> mln pasażerów w </w:t>
      </w:r>
      <w:r w:rsidR="00262C77"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</w:t>
      </w:r>
      <w:r w:rsidR="00AA7D10">
        <w:rPr>
          <w:rFonts w:cstheme="minorHAnsi"/>
          <w:szCs w:val="24"/>
        </w:rPr>
        <w:t xml:space="preserve">, co oznaczało wzrost o </w:t>
      </w:r>
      <w:r w:rsidR="00262C77">
        <w:rPr>
          <w:rFonts w:cstheme="minorHAnsi"/>
          <w:szCs w:val="24"/>
        </w:rPr>
        <w:t>2,1</w:t>
      </w:r>
      <w:r w:rsidRPr="007D383E">
        <w:rPr>
          <w:rFonts w:cstheme="minorHAnsi"/>
          <w:szCs w:val="24"/>
        </w:rPr>
        <w:t xml:space="preserve">% w porównaniu do </w:t>
      </w:r>
      <w:r w:rsidR="00262C77">
        <w:rPr>
          <w:rFonts w:cstheme="minorHAnsi"/>
          <w:szCs w:val="24"/>
        </w:rPr>
        <w:t xml:space="preserve">analogicznego okresu </w:t>
      </w:r>
      <w:r w:rsidR="00AA7D10">
        <w:rPr>
          <w:rFonts w:cstheme="minorHAnsi"/>
          <w:szCs w:val="24"/>
        </w:rPr>
        <w:t>202</w:t>
      </w:r>
      <w:r w:rsidR="00262C77">
        <w:rPr>
          <w:rFonts w:cstheme="minorHAnsi"/>
          <w:szCs w:val="24"/>
        </w:rPr>
        <w:t>4</w:t>
      </w:r>
      <w:r w:rsidR="00AA7D10">
        <w:rPr>
          <w:rFonts w:cstheme="minorHAnsi"/>
          <w:szCs w:val="24"/>
        </w:rPr>
        <w:t xml:space="preserve"> roku</w:t>
      </w:r>
      <w:r w:rsidRPr="007D383E">
        <w:rPr>
          <w:rFonts w:cstheme="minorHAnsi"/>
          <w:szCs w:val="24"/>
        </w:rPr>
        <w:t xml:space="preserve">. </w:t>
      </w:r>
    </w:p>
    <w:p w14:paraId="29C4DDB9" w14:textId="3A175D4E" w:rsidR="007E37E0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przewoźników sieciowych w portach regionalnych obsługujących 1-10 mln pasażerów rocznie najwięcej pasażerów obsłużył w </w:t>
      </w:r>
      <w:r w:rsidR="00262C77">
        <w:rPr>
          <w:rFonts w:cstheme="minorHAnsi"/>
          <w:szCs w:val="24"/>
        </w:rPr>
        <w:t>pierwszym kwartale 2025</w:t>
      </w:r>
      <w:r w:rsidR="00262C77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roku </w:t>
      </w:r>
      <w:r w:rsidR="00A332A6">
        <w:rPr>
          <w:rFonts w:cstheme="minorHAnsi"/>
          <w:szCs w:val="24"/>
        </w:rPr>
        <w:t>PLL </w:t>
      </w:r>
      <w:r w:rsidR="00AA7D10">
        <w:rPr>
          <w:rFonts w:cstheme="minorHAnsi"/>
          <w:szCs w:val="24"/>
        </w:rPr>
        <w:t xml:space="preserve">LOT. Przewoźnik </w:t>
      </w:r>
      <w:r w:rsidR="003D3924">
        <w:rPr>
          <w:rFonts w:cstheme="minorHAnsi"/>
          <w:szCs w:val="24"/>
        </w:rPr>
        <w:t xml:space="preserve">przewiózł </w:t>
      </w:r>
      <w:r w:rsidR="00262C77">
        <w:rPr>
          <w:rFonts w:cstheme="minorHAnsi"/>
          <w:szCs w:val="24"/>
        </w:rPr>
        <w:t>325</w:t>
      </w:r>
      <w:r w:rsidRPr="007D383E">
        <w:rPr>
          <w:rFonts w:cstheme="minorHAnsi"/>
          <w:szCs w:val="24"/>
        </w:rPr>
        <w:t xml:space="preserve"> </w:t>
      </w:r>
      <w:r w:rsidR="00262C77">
        <w:rPr>
          <w:rFonts w:cstheme="minorHAnsi"/>
          <w:szCs w:val="24"/>
        </w:rPr>
        <w:t>tys.</w:t>
      </w:r>
      <w:r w:rsidRPr="007D383E">
        <w:rPr>
          <w:rFonts w:cstheme="minorHAnsi"/>
          <w:szCs w:val="24"/>
        </w:rPr>
        <w:t xml:space="preserve"> pasażerów</w:t>
      </w:r>
      <w:r w:rsidR="00AA7D10">
        <w:rPr>
          <w:rFonts w:cstheme="minorHAnsi"/>
          <w:szCs w:val="24"/>
        </w:rPr>
        <w:t xml:space="preserve">, a więc o </w:t>
      </w:r>
      <w:r w:rsidR="00262C77">
        <w:rPr>
          <w:rFonts w:cstheme="minorHAnsi"/>
          <w:szCs w:val="24"/>
        </w:rPr>
        <w:t>10,8</w:t>
      </w:r>
      <w:r w:rsidRPr="007D383E">
        <w:rPr>
          <w:rFonts w:cstheme="minorHAnsi"/>
          <w:szCs w:val="24"/>
        </w:rPr>
        <w:t xml:space="preserve">% </w:t>
      </w:r>
      <w:r w:rsidR="00AA7D10">
        <w:rPr>
          <w:rFonts w:cstheme="minorHAnsi"/>
          <w:szCs w:val="24"/>
        </w:rPr>
        <w:t>więcej</w:t>
      </w:r>
      <w:r w:rsidR="00A332A6">
        <w:rPr>
          <w:rFonts w:cstheme="minorHAnsi"/>
          <w:szCs w:val="24"/>
        </w:rPr>
        <w:t xml:space="preserve"> niż w </w:t>
      </w:r>
      <w:r w:rsidR="00262C77">
        <w:rPr>
          <w:rFonts w:cstheme="minorHAnsi"/>
          <w:szCs w:val="24"/>
        </w:rPr>
        <w:t>pierwszym kwartale 2024</w:t>
      </w:r>
      <w:r w:rsidR="00AA7D10">
        <w:rPr>
          <w:rFonts w:cstheme="minorHAnsi"/>
          <w:szCs w:val="24"/>
        </w:rPr>
        <w:t xml:space="preserve"> roku</w:t>
      </w:r>
      <w:r w:rsidRPr="007D383E">
        <w:rPr>
          <w:rFonts w:cstheme="minorHAnsi"/>
          <w:szCs w:val="24"/>
        </w:rPr>
        <w:t>. Na kolejnym miejscu</w:t>
      </w:r>
      <w:r w:rsidR="00262C77">
        <w:rPr>
          <w:rFonts w:cstheme="minorHAnsi"/>
          <w:szCs w:val="24"/>
        </w:rPr>
        <w:t xml:space="preserve"> znaleźli</w:t>
      </w:r>
      <w:r w:rsidR="00AA7D10">
        <w:rPr>
          <w:rFonts w:cstheme="minorHAnsi"/>
          <w:szCs w:val="24"/>
        </w:rPr>
        <w:t xml:space="preserve"> się </w:t>
      </w:r>
      <w:r w:rsidR="00262C77">
        <w:rPr>
          <w:rFonts w:cstheme="minorHAnsi"/>
          <w:szCs w:val="24"/>
        </w:rPr>
        <w:t xml:space="preserve">Lufthansa (182,2 tys. pasażerów, +10,4%) oraz </w:t>
      </w:r>
      <w:r w:rsidR="00AA7D10">
        <w:rPr>
          <w:rFonts w:cstheme="minorHAnsi"/>
          <w:szCs w:val="24"/>
        </w:rPr>
        <w:t>KLM</w:t>
      </w:r>
      <w:r w:rsidR="00262C77">
        <w:rPr>
          <w:rFonts w:cstheme="minorHAnsi"/>
          <w:szCs w:val="24"/>
        </w:rPr>
        <w:t xml:space="preserve"> (100,4 tys. pasażerów, +7,3%)</w:t>
      </w:r>
      <w:r w:rsidRPr="007D383E">
        <w:rPr>
          <w:rFonts w:cstheme="minorHAnsi"/>
          <w:szCs w:val="24"/>
        </w:rPr>
        <w:t>.</w:t>
      </w:r>
    </w:p>
    <w:p w14:paraId="007ADE4C" w14:textId="77777777" w:rsidR="005D3326" w:rsidRPr="007D383E" w:rsidRDefault="007E37E0" w:rsidP="007E37E0">
      <w:pPr>
        <w:jc w:val="center"/>
      </w:pPr>
      <w:r w:rsidRPr="007D383E">
        <w:rPr>
          <w:noProof/>
          <w:lang w:eastAsia="pl-PL"/>
        </w:rPr>
        <w:drawing>
          <wp:inline distT="0" distB="0" distL="0" distR="0" wp14:anchorId="0E56B4CE" wp14:editId="25F5D4AC">
            <wp:extent cx="3599815" cy="1922145"/>
            <wp:effectExtent l="0" t="0" r="635" b="1905"/>
            <wp:docPr id="53" name="Wykres 53" descr="Wykres porównuje dynamikę ruchu w portach obsługujących 1-10 mln pasażerów z porównywalnymi portami zrzeszonymi w ACI w minionych kwartałach roku bieżącego i poprzedniego. Dane przedstawione w Tabeli 7.3 poniżej." title="Wykres 7.3 Dynamika portów obsługujących 1-10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AEC628" w14:textId="3BFB5681" w:rsidR="005D3326" w:rsidRPr="007D383E" w:rsidRDefault="005D3326" w:rsidP="005D3326">
      <w:pPr>
        <w:pStyle w:val="Legenda"/>
        <w:rPr>
          <w:rFonts w:cstheme="minorHAnsi"/>
          <w:szCs w:val="24"/>
        </w:rPr>
      </w:pPr>
      <w:bookmarkStart w:id="30" w:name="_Toc20053492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portów obsługujących 1-10 mln pasażerów – wykres porównuje dynamikę ruchu w</w:t>
      </w:r>
      <w:r w:rsidR="00372455">
        <w:rPr>
          <w:noProof/>
        </w:rPr>
        <w:t xml:space="preserve"> pierwszym kwartale</w:t>
      </w:r>
      <w:r w:rsidR="00A2095D" w:rsidRPr="007D383E">
        <w:rPr>
          <w:noProof/>
        </w:rPr>
        <w:t xml:space="preserve"> 202</w:t>
      </w:r>
      <w:r w:rsidR="00372455">
        <w:rPr>
          <w:noProof/>
        </w:rPr>
        <w:t>5</w:t>
      </w:r>
      <w:r w:rsidR="00A2095D" w:rsidRPr="007D383E">
        <w:rPr>
          <w:noProof/>
        </w:rPr>
        <w:t xml:space="preserve"> i 202</w:t>
      </w:r>
      <w:r w:rsidR="00372455">
        <w:rPr>
          <w:noProof/>
        </w:rPr>
        <w:t>4</w:t>
      </w:r>
      <w:r w:rsidR="00A2095D" w:rsidRPr="007D383E">
        <w:rPr>
          <w:noProof/>
        </w:rPr>
        <w:t xml:space="preserve"> roku w polskich portach regionalnych obsługujących rocznie </w:t>
      </w:r>
      <w:r w:rsidR="00A2095D" w:rsidRPr="007D383E">
        <w:rPr>
          <w:noProof/>
        </w:rPr>
        <w:br/>
        <w:t>1-10 mln pasażerów oraz porównywalnych portach zrzeszonych w ACI.</w:t>
      </w:r>
      <w:bookmarkEnd w:id="30"/>
    </w:p>
    <w:tbl>
      <w:tblPr>
        <w:tblStyle w:val="Tabelaanaliza"/>
        <w:tblW w:w="3402" w:type="dxa"/>
        <w:jc w:val="center"/>
        <w:tblLook w:val="0420" w:firstRow="1" w:lastRow="0" w:firstColumn="0" w:lastColumn="0" w:noHBand="0" w:noVBand="1"/>
        <w:tblCaption w:val="Tabela 7.3 Dynamika portów obsługujących 1-10 mln pasażerów"/>
        <w:tblDescription w:val="Tabela porównuje łączną dynamikę ruchu w minionych kwartałach roku bieżącego i poprzedniego w portach regionalnych Polski i portów regionalnych zrzeszonych w ACI (obsługujących rocznie 1-10 mln pasażerów)."/>
      </w:tblPr>
      <w:tblGrid>
        <w:gridCol w:w="1701"/>
        <w:gridCol w:w="1701"/>
      </w:tblGrid>
      <w:tr w:rsidR="004A4FC8" w:rsidRPr="007D383E" w14:paraId="633D13BE" w14:textId="77777777" w:rsidTr="00A2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14:paraId="3FF49704" w14:textId="77777777" w:rsidR="004A4FC8" w:rsidRPr="007D383E" w:rsidRDefault="00A2095D" w:rsidP="00EF24FC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1-10 mln</w:t>
            </w:r>
          </w:p>
        </w:tc>
        <w:tc>
          <w:tcPr>
            <w:tcW w:w="1701" w:type="dxa"/>
            <w:vAlign w:val="center"/>
            <w:hideMark/>
          </w:tcPr>
          <w:p w14:paraId="2552596B" w14:textId="77777777" w:rsidR="004A4FC8" w:rsidRPr="007D383E" w:rsidRDefault="004A4FC8" w:rsidP="00EF24FC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372455" w:rsidRPr="007D383E" w14:paraId="5DD120D3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392B50DE" w14:textId="77777777" w:rsidR="00372455" w:rsidRPr="007D383E" w:rsidRDefault="00372455" w:rsidP="0037245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701" w:type="dxa"/>
            <w:hideMark/>
          </w:tcPr>
          <w:p w14:paraId="4DCA1D41" w14:textId="4E048EF0" w:rsidR="00372455" w:rsidRPr="007D383E" w:rsidRDefault="00372455" w:rsidP="00372455">
            <w:pPr>
              <w:jc w:val="center"/>
            </w:pPr>
            <w:r w:rsidRPr="00615EA4">
              <w:t>7,25%</w:t>
            </w:r>
          </w:p>
        </w:tc>
      </w:tr>
      <w:tr w:rsidR="00372455" w:rsidRPr="007D383E" w14:paraId="4CB70EE1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3AE5332B" w14:textId="77777777" w:rsidR="00372455" w:rsidRPr="007D383E" w:rsidRDefault="00372455" w:rsidP="0037245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701" w:type="dxa"/>
            <w:hideMark/>
          </w:tcPr>
          <w:p w14:paraId="05E8BD69" w14:textId="4B3C3779" w:rsidR="00372455" w:rsidRPr="007D383E" w:rsidRDefault="00372455" w:rsidP="00372455">
            <w:pPr>
              <w:jc w:val="center"/>
            </w:pPr>
            <w:r w:rsidRPr="00615EA4">
              <w:t>3,60%</w:t>
            </w:r>
          </w:p>
        </w:tc>
      </w:tr>
    </w:tbl>
    <w:p w14:paraId="25C2AE3F" w14:textId="7BAC1DB9" w:rsidR="004A4FC8" w:rsidRPr="007D383E" w:rsidRDefault="000B5FC8" w:rsidP="00867A48">
      <w:pPr>
        <w:pStyle w:val="Legenda"/>
        <w:rPr>
          <w:lang w:eastAsia="pl-PL"/>
        </w:rPr>
      </w:pPr>
      <w:bookmarkStart w:id="31" w:name="_Toc20053853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portów obsługujących 1-10 mln pasażerów</w:t>
      </w:r>
      <w:bookmarkEnd w:id="31"/>
    </w:p>
    <w:p w14:paraId="38A37EEE" w14:textId="77777777" w:rsidR="00073E90" w:rsidRPr="007D383E" w:rsidRDefault="00073E90" w:rsidP="00073E90">
      <w:pPr>
        <w:pStyle w:val="Nagwek2"/>
      </w:pPr>
      <w:bookmarkStart w:id="32" w:name="_Toc200533897"/>
      <w:r w:rsidRPr="007D383E">
        <w:lastRenderedPageBreak/>
        <w:t>Porty lotnicze obsługujące mniej niż 1 mln pasażerów rocznie</w:t>
      </w:r>
      <w:bookmarkEnd w:id="32"/>
    </w:p>
    <w:p w14:paraId="0FF3A4FB" w14:textId="73BA857F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Porty regionalne obsługujące poniżej 1 mln pasażerów rocznie łącznie miały </w:t>
      </w:r>
      <w:r w:rsidR="005905D4">
        <w:rPr>
          <w:rFonts w:cstheme="minorHAnsi"/>
          <w:szCs w:val="24"/>
        </w:rPr>
        <w:t xml:space="preserve">w </w:t>
      </w:r>
      <w:r w:rsidR="00262C77">
        <w:rPr>
          <w:rFonts w:cstheme="minorHAnsi"/>
          <w:szCs w:val="24"/>
        </w:rPr>
        <w:t>pierwszym kwartale 2025</w:t>
      </w:r>
      <w:r w:rsidR="005905D4">
        <w:rPr>
          <w:rFonts w:cstheme="minorHAnsi"/>
          <w:szCs w:val="24"/>
        </w:rPr>
        <w:t xml:space="preserve"> roku </w:t>
      </w:r>
      <w:r w:rsidRPr="007D383E">
        <w:rPr>
          <w:rFonts w:cstheme="minorHAnsi"/>
          <w:szCs w:val="24"/>
        </w:rPr>
        <w:t xml:space="preserve">wynik </w:t>
      </w:r>
      <w:r w:rsidR="00262C77">
        <w:rPr>
          <w:rFonts w:cstheme="minorHAnsi"/>
          <w:szCs w:val="24"/>
        </w:rPr>
        <w:t>gorszy</w:t>
      </w:r>
      <w:r w:rsidRPr="007D383E">
        <w:rPr>
          <w:rFonts w:cstheme="minorHAnsi"/>
          <w:szCs w:val="24"/>
        </w:rPr>
        <w:t xml:space="preserve"> od porównywalnych portów ACI Europe</w:t>
      </w:r>
      <w:r w:rsidRPr="007D383E">
        <w:rPr>
          <w:rStyle w:val="Odwoanieprzypisudolnego"/>
          <w:rFonts w:cstheme="minorHAnsi"/>
          <w:szCs w:val="24"/>
        </w:rPr>
        <w:footnoteReference w:id="4"/>
      </w:r>
      <w:r w:rsidRPr="007D383E">
        <w:rPr>
          <w:rFonts w:cstheme="minorHAnsi"/>
          <w:szCs w:val="24"/>
        </w:rPr>
        <w:t xml:space="preserve"> o </w:t>
      </w:r>
      <w:r w:rsidR="00262C77">
        <w:rPr>
          <w:rFonts w:cstheme="minorHAnsi"/>
          <w:szCs w:val="24"/>
        </w:rPr>
        <w:t>16,7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.</w:t>
      </w:r>
      <w:r w:rsidR="005905D4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Do tej kategorii zaliczane</w:t>
      </w:r>
      <w:r w:rsidR="005905D4">
        <w:rPr>
          <w:rFonts w:cstheme="minorHAnsi"/>
          <w:szCs w:val="24"/>
        </w:rPr>
        <w:t xml:space="preserve"> </w:t>
      </w:r>
      <w:r w:rsidR="00262C77">
        <w:rPr>
          <w:rFonts w:cstheme="minorHAnsi"/>
          <w:szCs w:val="24"/>
        </w:rPr>
        <w:t>są</w:t>
      </w:r>
      <w:r w:rsidR="005905D4" w:rsidRPr="007D383E">
        <w:rPr>
          <w:rFonts w:cstheme="minorHAnsi"/>
          <w:szCs w:val="24"/>
        </w:rPr>
        <w:t xml:space="preserve"> </w:t>
      </w:r>
      <w:r w:rsidR="00262C77">
        <w:rPr>
          <w:rFonts w:cstheme="minorHAnsi"/>
          <w:szCs w:val="24"/>
        </w:rPr>
        <w:t>w 2025</w:t>
      </w:r>
      <w:r w:rsidR="005905D4">
        <w:rPr>
          <w:rFonts w:cstheme="minorHAnsi"/>
          <w:szCs w:val="24"/>
        </w:rPr>
        <w:t xml:space="preserve"> roku </w:t>
      </w:r>
      <w:r w:rsidRPr="007D383E">
        <w:rPr>
          <w:rFonts w:cstheme="minorHAnsi"/>
          <w:szCs w:val="24"/>
        </w:rPr>
        <w:t>porty lotnicze: Szczecin-Goleniów, Łódź, Lublin, Bydgoszcz, Warszawa-Radom, Zielona Góra-Babimost oraz Olsztyn-Mazury.</w:t>
      </w:r>
    </w:p>
    <w:p w14:paraId="5A6A0389" w14:textId="2F65D95C" w:rsidR="009D1F94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małych portach regionalnych w </w:t>
      </w:r>
      <w:r w:rsidR="00262C77">
        <w:rPr>
          <w:rFonts w:cstheme="minorHAnsi"/>
          <w:szCs w:val="24"/>
        </w:rPr>
        <w:t xml:space="preserve">pierwszym kwartale 2025 </w:t>
      </w:r>
      <w:r w:rsidRPr="007D383E">
        <w:rPr>
          <w:rFonts w:cstheme="minorHAnsi"/>
          <w:szCs w:val="24"/>
        </w:rPr>
        <w:t>roku najwięcej pasażerów obsłużyli przewoźnicy Ryanair (</w:t>
      </w:r>
      <w:r w:rsidR="00262C77">
        <w:rPr>
          <w:rFonts w:cstheme="minorHAnsi"/>
          <w:szCs w:val="24"/>
        </w:rPr>
        <w:t>239,6 tys.</w:t>
      </w:r>
      <w:r w:rsidRPr="007D383E">
        <w:rPr>
          <w:rFonts w:cstheme="minorHAnsi"/>
          <w:szCs w:val="24"/>
        </w:rPr>
        <w:t xml:space="preserve"> pasażerów), PLL LOT (</w:t>
      </w:r>
      <w:r w:rsidR="00262C77">
        <w:rPr>
          <w:rFonts w:cstheme="minorHAnsi"/>
          <w:szCs w:val="24"/>
        </w:rPr>
        <w:t>51,9</w:t>
      </w:r>
      <w:r w:rsidRPr="007D383E">
        <w:rPr>
          <w:rFonts w:cstheme="minorHAnsi"/>
          <w:szCs w:val="24"/>
        </w:rPr>
        <w:t xml:space="preserve"> tys.) oraz Wizz Air (</w:t>
      </w:r>
      <w:r w:rsidR="00262C77">
        <w:rPr>
          <w:rFonts w:cstheme="minorHAnsi"/>
          <w:szCs w:val="24"/>
        </w:rPr>
        <w:t>44,7 tys.).</w:t>
      </w:r>
    </w:p>
    <w:p w14:paraId="30168A71" w14:textId="77777777" w:rsidR="005D3326" w:rsidRPr="007D383E" w:rsidRDefault="005D3326" w:rsidP="005D3326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0BE81B0" wp14:editId="62EC9E2D">
            <wp:extent cx="3600000" cy="1922400"/>
            <wp:effectExtent l="0" t="0" r="635" b="1905"/>
            <wp:docPr id="55" name="Wykres 55" descr="Wykres porównuje dynamikę ruchu w minionych kwartałach roku bieżącego i poprzedniego w polskich portach regionalnych obsługujących rocznie poniżej 1 mln pasażerów oraz porównywalnych portach zrzeszonych w ACI. Dane przedstawione w Tabeli 7.4 poniżej." title="Wykres 7.4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C9EB90" w14:textId="4F3C2E49" w:rsidR="00527143" w:rsidRPr="007D383E" w:rsidRDefault="005D3326" w:rsidP="005D3326">
      <w:pPr>
        <w:pStyle w:val="Legenda"/>
        <w:rPr>
          <w:rFonts w:cstheme="minorHAnsi"/>
          <w:szCs w:val="24"/>
        </w:rPr>
      </w:pPr>
      <w:bookmarkStart w:id="33" w:name="_Toc20053492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Wykres \* ARABIC \s 1 </w:instrText>
      </w:r>
      <w:r w:rsidR="00E812E4" w:rsidRPr="007D383E">
        <w:rPr>
          <w:b/>
        </w:rPr>
        <w:fldChar w:fldCharType="separate"/>
      </w:r>
      <w:r w:rsidR="00B035D6">
        <w:rPr>
          <w:b/>
          <w:noProof/>
        </w:rPr>
        <w:t>4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Dynamika portów obsługujących poniżej 1 mln pasażerów – wykres porównuje dynamikę ruchu w</w:t>
      </w:r>
      <w:r w:rsidR="00A44535">
        <w:rPr>
          <w:noProof/>
        </w:rPr>
        <w:t xml:space="preserve"> pierwszym kwartale</w:t>
      </w:r>
      <w:r w:rsidRPr="007D383E">
        <w:rPr>
          <w:noProof/>
        </w:rPr>
        <w:t xml:space="preserve"> </w:t>
      </w:r>
      <w:r w:rsidR="00A44535">
        <w:rPr>
          <w:noProof/>
        </w:rPr>
        <w:t>2025 i 2024</w:t>
      </w:r>
      <w:r w:rsidRPr="007D383E">
        <w:rPr>
          <w:noProof/>
        </w:rPr>
        <w:t xml:space="preserve"> roku w polskich portach regionalnych </w:t>
      </w:r>
      <w:r w:rsidR="00DD3016" w:rsidRPr="007D383E">
        <w:rPr>
          <w:noProof/>
        </w:rPr>
        <w:t>obsługujących rocznie poniżej 1 </w:t>
      </w:r>
      <w:r w:rsidRPr="007D383E">
        <w:rPr>
          <w:noProof/>
        </w:rPr>
        <w:t>mln pasażerów oraz porównywalnych portach zrzeszonych w ACI.</w:t>
      </w:r>
      <w:bookmarkEnd w:id="33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4 Dynamika portów obsługujących poniżej 1 mln pasażerów"/>
        <w:tblDescription w:val="Tabela porównuje dynamikę ruchu w minionych kwartałach roku bieżącego i poprzedniego w polskich portach regionalnych obsługujących rocznie poniżej 1 mln pasażerów oraz porównywalnych portach zrzeszonych w ACI. "/>
      </w:tblPr>
      <w:tblGrid>
        <w:gridCol w:w="1590"/>
        <w:gridCol w:w="1590"/>
      </w:tblGrid>
      <w:tr w:rsidR="00527143" w:rsidRPr="007D383E" w14:paraId="183EA3C0" w14:textId="77777777" w:rsidTr="00EF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3C5EDD56" w14:textId="77777777" w:rsidR="00527143" w:rsidRPr="007D383E" w:rsidRDefault="00EF24FC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Poniżej 1</w:t>
            </w:r>
            <w:r w:rsidR="00527143" w:rsidRPr="007D383E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590" w:type="dxa"/>
            <w:vAlign w:val="center"/>
            <w:hideMark/>
          </w:tcPr>
          <w:p w14:paraId="1E5E06FC" w14:textId="77777777" w:rsidR="00527143" w:rsidRPr="007D383E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A44535" w:rsidRPr="007D383E" w14:paraId="5433D145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361CCB0D" w14:textId="77777777" w:rsidR="00A44535" w:rsidRPr="007D383E" w:rsidRDefault="00A44535" w:rsidP="00A4453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hideMark/>
          </w:tcPr>
          <w:p w14:paraId="09A68472" w14:textId="0BF42ECE" w:rsidR="00A44535" w:rsidRPr="007D383E" w:rsidRDefault="00A44535" w:rsidP="00A44535">
            <w:pPr>
              <w:jc w:val="center"/>
            </w:pPr>
            <w:r w:rsidRPr="00592D1D">
              <w:t>-3,32%</w:t>
            </w:r>
          </w:p>
        </w:tc>
      </w:tr>
      <w:tr w:rsidR="00A44535" w:rsidRPr="007D383E" w14:paraId="47C34335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62F02552" w14:textId="77777777" w:rsidR="00A44535" w:rsidRPr="007D383E" w:rsidRDefault="00A44535" w:rsidP="00A4453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hideMark/>
          </w:tcPr>
          <w:p w14:paraId="31D4B227" w14:textId="6E801D20" w:rsidR="00A44535" w:rsidRPr="007D383E" w:rsidRDefault="00A44535" w:rsidP="00A44535">
            <w:pPr>
              <w:jc w:val="center"/>
            </w:pPr>
            <w:r w:rsidRPr="00592D1D">
              <w:t>13,40%</w:t>
            </w:r>
          </w:p>
        </w:tc>
      </w:tr>
    </w:tbl>
    <w:p w14:paraId="28F61535" w14:textId="111A66E8" w:rsidR="00527143" w:rsidRPr="007D383E" w:rsidRDefault="00EF24FC" w:rsidP="00EF24FC">
      <w:pPr>
        <w:pStyle w:val="Legenda"/>
        <w:rPr>
          <w:rFonts w:cstheme="minorHAnsi"/>
          <w:szCs w:val="24"/>
        </w:rPr>
      </w:pPr>
      <w:bookmarkStart w:id="34" w:name="_Toc200538534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Tabela \* ARABIC \s 1 </w:instrText>
      </w:r>
      <w:r w:rsidR="00E812E4" w:rsidRPr="007D383E">
        <w:rPr>
          <w:b/>
        </w:rPr>
        <w:fldChar w:fldCharType="separate"/>
      </w:r>
      <w:r w:rsidR="00B035D6">
        <w:rPr>
          <w:b/>
          <w:noProof/>
        </w:rPr>
        <w:t>4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Dynamika portów obsługujących poniżej 1 mln pasażerów</w:t>
      </w:r>
      <w:bookmarkEnd w:id="34"/>
    </w:p>
    <w:p w14:paraId="2D86BD09" w14:textId="170578F7" w:rsidR="00EF21A5" w:rsidRPr="007D383E" w:rsidRDefault="00D17090" w:rsidP="00073E90">
      <w:pPr>
        <w:pStyle w:val="Nagwek2"/>
      </w:pPr>
      <w:bookmarkStart w:id="35" w:name="_Toc200533898"/>
      <w:r w:rsidRPr="007D383E">
        <w:t>Wyniki portów</w:t>
      </w:r>
      <w:r w:rsidR="00073E90" w:rsidRPr="007D383E">
        <w:t xml:space="preserve"> lotniczych</w:t>
      </w:r>
      <w:bookmarkEnd w:id="35"/>
    </w:p>
    <w:p w14:paraId="3A390BCF" w14:textId="0F61583E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Porównując </w:t>
      </w:r>
      <w:r w:rsidR="004610BC">
        <w:rPr>
          <w:rFonts w:cstheme="minorHAnsi"/>
          <w:szCs w:val="24"/>
        </w:rPr>
        <w:t>pierwszy</w:t>
      </w:r>
      <w:r w:rsidRPr="007D383E">
        <w:rPr>
          <w:rFonts w:cstheme="minorHAnsi"/>
          <w:szCs w:val="24"/>
        </w:rPr>
        <w:t xml:space="preserve"> kwartał 202</w:t>
      </w:r>
      <w:r w:rsidR="004610BC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i 202</w:t>
      </w:r>
      <w:r w:rsidR="004610BC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 największe wzrosty liczbowe wśród portów lotniczych uzyskały Lotnisko Chopina w Warszawie (+</w:t>
      </w:r>
      <w:r w:rsidR="004610BC">
        <w:rPr>
          <w:rFonts w:cstheme="minorHAnsi"/>
          <w:szCs w:val="24"/>
        </w:rPr>
        <w:t>534,4</w:t>
      </w:r>
      <w:r w:rsidRPr="007D383E">
        <w:rPr>
          <w:rFonts w:cstheme="minorHAnsi"/>
          <w:szCs w:val="24"/>
        </w:rPr>
        <w:t xml:space="preserve"> tys. pasażerów), Port Lotniczy Kraków-Balice (+</w:t>
      </w:r>
      <w:r w:rsidR="004610BC">
        <w:rPr>
          <w:rFonts w:cstheme="minorHAnsi"/>
          <w:szCs w:val="24"/>
        </w:rPr>
        <w:t>473,4</w:t>
      </w:r>
      <w:r w:rsidRPr="007D383E">
        <w:rPr>
          <w:rFonts w:cstheme="minorHAnsi"/>
          <w:szCs w:val="24"/>
        </w:rPr>
        <w:t xml:space="preserve"> tys.) oraz Port Lotniczy </w:t>
      </w:r>
      <w:r w:rsidR="004610BC">
        <w:rPr>
          <w:rFonts w:cstheme="minorHAnsi"/>
          <w:szCs w:val="24"/>
        </w:rPr>
        <w:t>Katowice-Pyrzowice</w:t>
      </w:r>
      <w:r w:rsidRPr="007D383E">
        <w:rPr>
          <w:rFonts w:cstheme="minorHAnsi"/>
          <w:szCs w:val="24"/>
        </w:rPr>
        <w:t xml:space="preserve"> (+</w:t>
      </w:r>
      <w:r w:rsidR="004610BC">
        <w:rPr>
          <w:rFonts w:cstheme="minorHAnsi"/>
          <w:szCs w:val="24"/>
        </w:rPr>
        <w:t>164,2</w:t>
      </w:r>
      <w:r w:rsidRPr="007D383E">
        <w:rPr>
          <w:rFonts w:cstheme="minorHAnsi"/>
          <w:szCs w:val="24"/>
        </w:rPr>
        <w:t xml:space="preserve"> tys.). </w:t>
      </w:r>
    </w:p>
    <w:p w14:paraId="3986CF47" w14:textId="1904A1A4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Spadki w </w:t>
      </w:r>
      <w:r w:rsidR="004610BC"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kwartale </w:t>
      </w:r>
      <w:r w:rsidR="004610BC">
        <w:rPr>
          <w:rFonts w:cstheme="minorHAnsi"/>
          <w:szCs w:val="24"/>
        </w:rPr>
        <w:t>względem tego samego okresu 2024</w:t>
      </w:r>
      <w:r w:rsidRPr="007D383E">
        <w:rPr>
          <w:rFonts w:cstheme="minorHAnsi"/>
          <w:szCs w:val="24"/>
        </w:rPr>
        <w:t xml:space="preserve"> roku wystąpiły w przypadku portów lotniczych Warszawa-Modlin (</w:t>
      </w:r>
      <w:r>
        <w:rPr>
          <w:rFonts w:cstheme="minorHAnsi"/>
          <w:szCs w:val="24"/>
        </w:rPr>
        <w:t>-</w:t>
      </w:r>
      <w:r w:rsidR="00007CE1">
        <w:rPr>
          <w:rFonts w:cstheme="minorHAnsi"/>
          <w:szCs w:val="24"/>
        </w:rPr>
        <w:t>44,2</w:t>
      </w:r>
      <w:r w:rsidRPr="007D383E">
        <w:rPr>
          <w:rFonts w:cstheme="minorHAnsi"/>
          <w:szCs w:val="24"/>
        </w:rPr>
        <w:t>%</w:t>
      </w:r>
      <w:r w:rsidR="00007CE1">
        <w:rPr>
          <w:rFonts w:cstheme="minorHAnsi"/>
          <w:szCs w:val="24"/>
        </w:rPr>
        <w:t>, z powodu znacznej redukcji oferowania Ryanair</w:t>
      </w:r>
      <w:r w:rsidRPr="007D383E">
        <w:rPr>
          <w:rFonts w:cstheme="minorHAnsi"/>
          <w:szCs w:val="24"/>
        </w:rPr>
        <w:t>), Olsztyn-Mazury (</w:t>
      </w:r>
      <w:r>
        <w:rPr>
          <w:rFonts w:cstheme="minorHAnsi"/>
          <w:szCs w:val="24"/>
        </w:rPr>
        <w:t>-</w:t>
      </w:r>
      <w:r w:rsidR="00007CE1">
        <w:rPr>
          <w:rFonts w:cstheme="minorHAnsi"/>
          <w:szCs w:val="24"/>
        </w:rPr>
        <w:t>47,3</w:t>
      </w:r>
      <w:r w:rsidRPr="007D383E">
        <w:rPr>
          <w:rFonts w:cstheme="minorHAnsi"/>
          <w:szCs w:val="24"/>
        </w:rPr>
        <w:t>%</w:t>
      </w:r>
      <w:r w:rsidR="00007CE1">
        <w:rPr>
          <w:rFonts w:cstheme="minorHAnsi"/>
          <w:szCs w:val="24"/>
        </w:rPr>
        <w:t>, zawieszenie połączeń przez Wizz Air w drugim kwartale 2024 r.</w:t>
      </w:r>
      <w:r w:rsidRPr="007D383E">
        <w:rPr>
          <w:rFonts w:cstheme="minorHAnsi"/>
          <w:szCs w:val="24"/>
        </w:rPr>
        <w:t>)</w:t>
      </w:r>
      <w:r w:rsidR="004610BC">
        <w:rPr>
          <w:rFonts w:cstheme="minorHAnsi"/>
          <w:szCs w:val="24"/>
        </w:rPr>
        <w:t>, Warszawa-Radom</w:t>
      </w:r>
      <w:r w:rsidR="00007CE1">
        <w:rPr>
          <w:rFonts w:cstheme="minorHAnsi"/>
          <w:szCs w:val="24"/>
        </w:rPr>
        <w:t xml:space="preserve"> (-28,4%)</w:t>
      </w:r>
      <w:r w:rsidR="004610BC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</w:t>
      </w:r>
      <w:r w:rsidR="0087580A">
        <w:rPr>
          <w:rFonts w:cstheme="minorHAnsi"/>
          <w:szCs w:val="24"/>
        </w:rPr>
        <w:t>Bydgoszcz</w:t>
      </w:r>
      <w:r w:rsidRPr="007D383E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-</w:t>
      </w:r>
      <w:r w:rsidR="00007CE1">
        <w:rPr>
          <w:rFonts w:cstheme="minorHAnsi"/>
          <w:szCs w:val="24"/>
        </w:rPr>
        <w:t>5,2%</w:t>
      </w:r>
      <w:r w:rsidRPr="007D383E">
        <w:rPr>
          <w:rFonts w:cstheme="minorHAnsi"/>
          <w:szCs w:val="24"/>
        </w:rPr>
        <w:t>)</w:t>
      </w:r>
      <w:r w:rsidR="004610BC">
        <w:rPr>
          <w:rFonts w:cstheme="minorHAnsi"/>
          <w:szCs w:val="24"/>
        </w:rPr>
        <w:t xml:space="preserve"> oraz Łódź </w:t>
      </w:r>
      <w:r w:rsidRPr="007D383E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-</w:t>
      </w:r>
      <w:r w:rsidR="00007CE1">
        <w:rPr>
          <w:rFonts w:cstheme="minorHAnsi"/>
          <w:szCs w:val="24"/>
        </w:rPr>
        <w:t>0,1%).</w:t>
      </w:r>
    </w:p>
    <w:p w14:paraId="03CAB0C9" w14:textId="01773CFA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 xml:space="preserve">Porty obsługujące 1-10 mln pasażerów rocznie </w:t>
      </w:r>
      <w:r w:rsidR="00254733">
        <w:rPr>
          <w:rFonts w:cstheme="minorHAnsi"/>
          <w:szCs w:val="24"/>
        </w:rPr>
        <w:t>miały</w:t>
      </w:r>
      <w:r w:rsidR="002136D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w </w:t>
      </w:r>
      <w:r w:rsidR="00007CE1"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kwartale </w:t>
      </w:r>
      <w:r w:rsidR="00007CE1">
        <w:rPr>
          <w:rFonts w:cstheme="minorHAnsi"/>
          <w:szCs w:val="24"/>
        </w:rPr>
        <w:t xml:space="preserve">2025 roku </w:t>
      </w:r>
      <w:r w:rsidRPr="007D383E">
        <w:rPr>
          <w:rFonts w:cstheme="minorHAnsi"/>
          <w:szCs w:val="24"/>
        </w:rPr>
        <w:t xml:space="preserve">o </w:t>
      </w:r>
      <w:r w:rsidR="00007CE1">
        <w:rPr>
          <w:rFonts w:cstheme="minorHAnsi"/>
          <w:szCs w:val="24"/>
        </w:rPr>
        <w:t>302,2</w:t>
      </w:r>
      <w:r w:rsidR="0087580A">
        <w:rPr>
          <w:rFonts w:cstheme="minorHAnsi"/>
          <w:szCs w:val="24"/>
        </w:rPr>
        <w:t xml:space="preserve"> tys.</w:t>
      </w:r>
      <w:r w:rsidRPr="007D383E">
        <w:rPr>
          <w:rFonts w:cstheme="minorHAnsi"/>
          <w:szCs w:val="24"/>
        </w:rPr>
        <w:t xml:space="preserve"> pasażerów </w:t>
      </w:r>
      <w:r w:rsidR="00007CE1">
        <w:rPr>
          <w:rFonts w:cstheme="minorHAnsi"/>
          <w:szCs w:val="24"/>
        </w:rPr>
        <w:t>więcej niż w tym samym okresie 2024 roku (+7,2</w:t>
      </w:r>
      <w:r w:rsidRPr="007D383E">
        <w:rPr>
          <w:rFonts w:cstheme="minorHAnsi"/>
          <w:szCs w:val="24"/>
        </w:rPr>
        <w:t>%)</w:t>
      </w:r>
      <w:r w:rsidR="00007CE1">
        <w:rPr>
          <w:rFonts w:cstheme="minorHAnsi"/>
          <w:szCs w:val="24"/>
        </w:rPr>
        <w:t>.</w:t>
      </w:r>
    </w:p>
    <w:p w14:paraId="6E85B107" w14:textId="18E230F1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Porty obsługujące poniżej 1 mln pasażerów rocznie w </w:t>
      </w:r>
      <w:r w:rsidR="00007CE1"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kwartale 2</w:t>
      </w:r>
      <w:r w:rsidR="00007CE1">
        <w:rPr>
          <w:rFonts w:cstheme="minorHAnsi"/>
          <w:szCs w:val="24"/>
        </w:rPr>
        <w:t>025</w:t>
      </w:r>
      <w:r w:rsidR="009517C8">
        <w:rPr>
          <w:rFonts w:cstheme="minorHAnsi"/>
          <w:szCs w:val="24"/>
        </w:rPr>
        <w:t xml:space="preserve"> roku odnotowały </w:t>
      </w:r>
      <w:r w:rsidR="00007CE1">
        <w:rPr>
          <w:rFonts w:cstheme="minorHAnsi"/>
          <w:szCs w:val="24"/>
        </w:rPr>
        <w:t>spadek</w:t>
      </w:r>
      <w:r w:rsidR="009517C8">
        <w:rPr>
          <w:rFonts w:cstheme="minorHAnsi"/>
          <w:szCs w:val="24"/>
        </w:rPr>
        <w:t xml:space="preserve"> o </w:t>
      </w:r>
      <w:r w:rsidR="00007CE1">
        <w:rPr>
          <w:rFonts w:cstheme="minorHAnsi"/>
          <w:szCs w:val="24"/>
        </w:rPr>
        <w:t>3,3% (-12,2</w:t>
      </w:r>
      <w:r w:rsidRPr="007D383E">
        <w:rPr>
          <w:rFonts w:cstheme="minorHAnsi"/>
          <w:szCs w:val="24"/>
        </w:rPr>
        <w:t xml:space="preserve"> tys. pasażerów) względem </w:t>
      </w:r>
      <w:r w:rsidR="00007CE1">
        <w:rPr>
          <w:rFonts w:cstheme="minorHAnsi"/>
          <w:szCs w:val="24"/>
        </w:rPr>
        <w:t>pierwszego kwartału roku 2024</w:t>
      </w:r>
      <w:r w:rsidRPr="007D383E">
        <w:rPr>
          <w:rFonts w:cstheme="minorHAnsi"/>
          <w:szCs w:val="24"/>
        </w:rPr>
        <w:t>.</w:t>
      </w:r>
    </w:p>
    <w:p w14:paraId="19E55D7F" w14:textId="77777777" w:rsidR="00CE2032" w:rsidRPr="007D383E" w:rsidRDefault="00CE2032" w:rsidP="00CE2032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43FA269" wp14:editId="2A7D206E">
            <wp:extent cx="5760000" cy="2728800"/>
            <wp:effectExtent l="0" t="0" r="0" b="0"/>
            <wp:docPr id="58" name="Wykres 58" descr="Wykres przedstawia liczbową różnicę w przewozach pasażerskich oraz ich dynamikę w polskich portach lotniczych w ruchu krajowym i międzynarodowym w danym kwartale roku bieżącego i poprzedniego. Dane przedstawione w Tabeli 7.5 poniżej." title="Wykres 7.5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F407FAC" w14:textId="231E14DC" w:rsidR="00CE2032" w:rsidRPr="007D383E" w:rsidRDefault="00CE2032" w:rsidP="00CE2032">
      <w:pPr>
        <w:pStyle w:val="Legenda"/>
        <w:rPr>
          <w:rFonts w:cstheme="minorHAnsi"/>
          <w:szCs w:val="24"/>
        </w:rPr>
      </w:pPr>
      <w:bookmarkStart w:id="36" w:name="_Toc20053492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5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 – kwartał – wykres przedstawia liczbową różnicę w</w:t>
      </w:r>
      <w:r w:rsidR="00A53BD4" w:rsidRPr="007D383E">
        <w:rPr>
          <w:noProof/>
        </w:rPr>
        <w:t> </w:t>
      </w:r>
      <w:r w:rsidRPr="007D383E">
        <w:rPr>
          <w:noProof/>
        </w:rPr>
        <w:t>przewozach pasażerskich oraz ich dynamikę w polskich portac</w:t>
      </w:r>
      <w:r w:rsidR="00A53BD4" w:rsidRPr="007D383E">
        <w:rPr>
          <w:noProof/>
        </w:rPr>
        <w:t>h lotniczych w ruchu krajowym i </w:t>
      </w:r>
      <w:r w:rsidRPr="007D383E">
        <w:rPr>
          <w:noProof/>
        </w:rPr>
        <w:t xml:space="preserve">międzynarodowym w </w:t>
      </w:r>
      <w:r w:rsidR="00A44535">
        <w:rPr>
          <w:noProof/>
        </w:rPr>
        <w:t>pierwszym</w:t>
      </w:r>
      <w:r w:rsidRPr="007D383E">
        <w:rPr>
          <w:noProof/>
        </w:rPr>
        <w:t xml:space="preserve"> kwartale </w:t>
      </w:r>
      <w:r w:rsidR="00A44535">
        <w:rPr>
          <w:noProof/>
        </w:rPr>
        <w:t>2025</w:t>
      </w:r>
      <w:r w:rsidR="00A2095D" w:rsidRPr="007D383E">
        <w:rPr>
          <w:noProof/>
        </w:rPr>
        <w:t xml:space="preserve"> i 202</w:t>
      </w:r>
      <w:r w:rsidR="00A44535">
        <w:rPr>
          <w:noProof/>
        </w:rPr>
        <w:t>4</w:t>
      </w:r>
      <w:r w:rsidRPr="007D383E">
        <w:rPr>
          <w:noProof/>
        </w:rPr>
        <w:t xml:space="preserve"> roku.</w:t>
      </w:r>
      <w:bookmarkEnd w:id="36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7.5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464"/>
        <w:gridCol w:w="1542"/>
        <w:gridCol w:w="1429"/>
      </w:tblGrid>
      <w:tr w:rsidR="006F5634" w:rsidRPr="007D383E" w14:paraId="6E043784" w14:textId="77777777" w:rsidTr="00E81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14:paraId="386E953E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14:paraId="0560485D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14:paraId="59C4CD48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A44535" w:rsidRPr="007D383E" w14:paraId="4B246481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32D2C687" w14:textId="5053996A" w:rsidR="00A44535" w:rsidRPr="007D383E" w:rsidRDefault="00A44535" w:rsidP="00A44535">
            <w:pPr>
              <w:jc w:val="center"/>
            </w:pPr>
            <w:r w:rsidRPr="00383B4A">
              <w:t>WAW</w:t>
            </w:r>
          </w:p>
        </w:tc>
        <w:tc>
          <w:tcPr>
            <w:tcW w:w="0" w:type="auto"/>
            <w:noWrap/>
            <w:hideMark/>
          </w:tcPr>
          <w:p w14:paraId="5B170162" w14:textId="28DC9713" w:rsidR="00A44535" w:rsidRPr="007D383E" w:rsidRDefault="00A44535" w:rsidP="00A44535">
            <w:pPr>
              <w:jc w:val="center"/>
            </w:pPr>
            <w:r w:rsidRPr="00383B4A">
              <w:t>534 439</w:t>
            </w:r>
          </w:p>
        </w:tc>
        <w:tc>
          <w:tcPr>
            <w:tcW w:w="0" w:type="auto"/>
            <w:noWrap/>
            <w:hideMark/>
          </w:tcPr>
          <w:p w14:paraId="1C9CEC5D" w14:textId="5C475718" w:rsidR="00A44535" w:rsidRPr="007D383E" w:rsidRDefault="00A44535" w:rsidP="00A44535">
            <w:pPr>
              <w:jc w:val="center"/>
            </w:pPr>
            <w:r w:rsidRPr="00383B4A">
              <w:t>12%</w:t>
            </w:r>
          </w:p>
        </w:tc>
      </w:tr>
      <w:tr w:rsidR="00A44535" w:rsidRPr="007D383E" w14:paraId="3D34ED3A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4E3095F5" w14:textId="69DB71E5" w:rsidR="00A44535" w:rsidRPr="007D383E" w:rsidRDefault="00A44535" w:rsidP="00A44535">
            <w:pPr>
              <w:jc w:val="center"/>
            </w:pPr>
            <w:r w:rsidRPr="00383B4A">
              <w:t>KRK</w:t>
            </w:r>
          </w:p>
        </w:tc>
        <w:tc>
          <w:tcPr>
            <w:tcW w:w="0" w:type="auto"/>
            <w:noWrap/>
            <w:hideMark/>
          </w:tcPr>
          <w:p w14:paraId="38F5C3D4" w14:textId="6C9B81EF" w:rsidR="00A44535" w:rsidRPr="007D383E" w:rsidRDefault="00A44535" w:rsidP="00A44535">
            <w:pPr>
              <w:jc w:val="center"/>
            </w:pPr>
            <w:r w:rsidRPr="00383B4A">
              <w:t>473 379</w:t>
            </w:r>
          </w:p>
        </w:tc>
        <w:tc>
          <w:tcPr>
            <w:tcW w:w="0" w:type="auto"/>
            <w:noWrap/>
            <w:hideMark/>
          </w:tcPr>
          <w:p w14:paraId="47665E1A" w14:textId="0D561D9B" w:rsidR="00A44535" w:rsidRPr="007D383E" w:rsidRDefault="00A44535" w:rsidP="00A44535">
            <w:pPr>
              <w:jc w:val="center"/>
            </w:pPr>
            <w:r w:rsidRPr="00383B4A">
              <w:t>22%</w:t>
            </w:r>
          </w:p>
        </w:tc>
      </w:tr>
      <w:tr w:rsidR="00A44535" w:rsidRPr="007D383E" w14:paraId="44FD0B69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327DA57C" w14:textId="7ADEF506" w:rsidR="00A44535" w:rsidRPr="007D383E" w:rsidRDefault="00A44535" w:rsidP="00A44535">
            <w:pPr>
              <w:jc w:val="center"/>
            </w:pPr>
            <w:r w:rsidRPr="00383B4A">
              <w:t>KTW</w:t>
            </w:r>
          </w:p>
        </w:tc>
        <w:tc>
          <w:tcPr>
            <w:tcW w:w="0" w:type="auto"/>
            <w:noWrap/>
            <w:hideMark/>
          </w:tcPr>
          <w:p w14:paraId="1942509A" w14:textId="5FAE3B97" w:rsidR="00A44535" w:rsidRPr="007D383E" w:rsidRDefault="00A44535" w:rsidP="00A44535">
            <w:pPr>
              <w:jc w:val="center"/>
            </w:pPr>
            <w:r w:rsidRPr="00383B4A">
              <w:t>164 247</w:t>
            </w:r>
          </w:p>
        </w:tc>
        <w:tc>
          <w:tcPr>
            <w:tcW w:w="0" w:type="auto"/>
            <w:noWrap/>
            <w:hideMark/>
          </w:tcPr>
          <w:p w14:paraId="201AF385" w14:textId="0242BAAD" w:rsidR="00A44535" w:rsidRPr="007D383E" w:rsidRDefault="00A44535" w:rsidP="00A44535">
            <w:pPr>
              <w:jc w:val="center"/>
            </w:pPr>
            <w:r w:rsidRPr="00383B4A">
              <w:t>18%</w:t>
            </w:r>
          </w:p>
        </w:tc>
      </w:tr>
      <w:tr w:rsidR="00A44535" w:rsidRPr="007D383E" w14:paraId="319CB5E8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3AAB89AC" w14:textId="0263D9AB" w:rsidR="00A44535" w:rsidRPr="007D383E" w:rsidRDefault="00A44535" w:rsidP="00A44535">
            <w:pPr>
              <w:jc w:val="center"/>
            </w:pPr>
            <w:r w:rsidRPr="00383B4A">
              <w:t>GDN</w:t>
            </w:r>
          </w:p>
        </w:tc>
        <w:tc>
          <w:tcPr>
            <w:tcW w:w="0" w:type="auto"/>
            <w:noWrap/>
            <w:hideMark/>
          </w:tcPr>
          <w:p w14:paraId="61CD4CBF" w14:textId="277501D4" w:rsidR="00A44535" w:rsidRPr="007D383E" w:rsidRDefault="00A44535" w:rsidP="00A44535">
            <w:pPr>
              <w:jc w:val="center"/>
            </w:pPr>
            <w:r w:rsidRPr="00383B4A">
              <w:t>146 920</w:t>
            </w:r>
          </w:p>
        </w:tc>
        <w:tc>
          <w:tcPr>
            <w:tcW w:w="0" w:type="auto"/>
            <w:noWrap/>
            <w:hideMark/>
          </w:tcPr>
          <w:p w14:paraId="1C061D3F" w14:textId="30222F67" w:rsidR="00A44535" w:rsidRPr="007D383E" w:rsidRDefault="00A44535" w:rsidP="00A44535">
            <w:pPr>
              <w:jc w:val="center"/>
            </w:pPr>
            <w:r w:rsidRPr="00383B4A">
              <w:t>12%</w:t>
            </w:r>
          </w:p>
        </w:tc>
      </w:tr>
      <w:tr w:rsidR="00A44535" w:rsidRPr="007D383E" w14:paraId="30BE2AB1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63FB4BB6" w14:textId="3E950EF8" w:rsidR="00A44535" w:rsidRPr="007D383E" w:rsidRDefault="00A44535" w:rsidP="00A44535">
            <w:pPr>
              <w:jc w:val="center"/>
            </w:pPr>
            <w:r w:rsidRPr="00383B4A">
              <w:t>WRO</w:t>
            </w:r>
          </w:p>
        </w:tc>
        <w:tc>
          <w:tcPr>
            <w:tcW w:w="0" w:type="auto"/>
            <w:noWrap/>
            <w:hideMark/>
          </w:tcPr>
          <w:p w14:paraId="3A947B6E" w14:textId="09795402" w:rsidR="00A44535" w:rsidRPr="007D383E" w:rsidRDefault="00A44535" w:rsidP="00A44535">
            <w:pPr>
              <w:jc w:val="center"/>
            </w:pPr>
            <w:r w:rsidRPr="00383B4A">
              <w:t>91 937</w:t>
            </w:r>
          </w:p>
        </w:tc>
        <w:tc>
          <w:tcPr>
            <w:tcW w:w="0" w:type="auto"/>
            <w:noWrap/>
            <w:hideMark/>
          </w:tcPr>
          <w:p w14:paraId="6D4FFD88" w14:textId="0C98CA9E" w:rsidR="00A44535" w:rsidRPr="007D383E" w:rsidRDefault="00A44535" w:rsidP="00A44535">
            <w:pPr>
              <w:jc w:val="center"/>
            </w:pPr>
            <w:r w:rsidRPr="00383B4A">
              <w:t>12%</w:t>
            </w:r>
          </w:p>
        </w:tc>
      </w:tr>
      <w:tr w:rsidR="00A44535" w:rsidRPr="007D383E" w14:paraId="38D9E912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0A788B84" w14:textId="4502D9F1" w:rsidR="00A44535" w:rsidRPr="007D383E" w:rsidRDefault="00A44535" w:rsidP="00A44535">
            <w:pPr>
              <w:jc w:val="center"/>
            </w:pPr>
            <w:r w:rsidRPr="00383B4A">
              <w:t>POZ</w:t>
            </w:r>
          </w:p>
        </w:tc>
        <w:tc>
          <w:tcPr>
            <w:tcW w:w="0" w:type="auto"/>
            <w:noWrap/>
            <w:hideMark/>
          </w:tcPr>
          <w:p w14:paraId="4D8CF7CE" w14:textId="735C8ED7" w:rsidR="00A44535" w:rsidRPr="007D383E" w:rsidRDefault="00A44535" w:rsidP="00A44535">
            <w:pPr>
              <w:jc w:val="center"/>
            </w:pPr>
            <w:r w:rsidRPr="00383B4A">
              <w:t>138 337</w:t>
            </w:r>
          </w:p>
        </w:tc>
        <w:tc>
          <w:tcPr>
            <w:tcW w:w="0" w:type="auto"/>
            <w:noWrap/>
            <w:hideMark/>
          </w:tcPr>
          <w:p w14:paraId="340B8429" w14:textId="08102436" w:rsidR="00A44535" w:rsidRPr="007D383E" w:rsidRDefault="00A44535" w:rsidP="00A44535">
            <w:pPr>
              <w:jc w:val="center"/>
            </w:pPr>
            <w:r w:rsidRPr="00383B4A">
              <w:t>28%</w:t>
            </w:r>
          </w:p>
        </w:tc>
      </w:tr>
      <w:tr w:rsidR="00A44535" w:rsidRPr="007D383E" w14:paraId="39609795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1ACF18A8" w14:textId="2616E9D4" w:rsidR="00A44535" w:rsidRPr="007D383E" w:rsidRDefault="00A44535" w:rsidP="00A44535">
            <w:pPr>
              <w:jc w:val="center"/>
            </w:pPr>
            <w:r w:rsidRPr="00383B4A">
              <w:t>WMI</w:t>
            </w:r>
          </w:p>
        </w:tc>
        <w:tc>
          <w:tcPr>
            <w:tcW w:w="0" w:type="auto"/>
            <w:noWrap/>
            <w:hideMark/>
          </w:tcPr>
          <w:p w14:paraId="15F19297" w14:textId="3FAE5EB3" w:rsidR="00A44535" w:rsidRPr="007D383E" w:rsidRDefault="00A44535" w:rsidP="00A44535">
            <w:pPr>
              <w:jc w:val="center"/>
            </w:pPr>
            <w:r w:rsidRPr="00383B4A">
              <w:t>-262 308</w:t>
            </w:r>
          </w:p>
        </w:tc>
        <w:tc>
          <w:tcPr>
            <w:tcW w:w="0" w:type="auto"/>
            <w:noWrap/>
            <w:hideMark/>
          </w:tcPr>
          <w:p w14:paraId="6F916F1D" w14:textId="3B0B4DB3" w:rsidR="00A44535" w:rsidRPr="007D383E" w:rsidRDefault="00A44535" w:rsidP="00A44535">
            <w:pPr>
              <w:jc w:val="center"/>
            </w:pPr>
            <w:r w:rsidRPr="00383B4A">
              <w:t>-44%</w:t>
            </w:r>
          </w:p>
        </w:tc>
      </w:tr>
      <w:tr w:rsidR="00A44535" w:rsidRPr="007D383E" w14:paraId="7B0FE124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49A40645" w14:textId="0014E723" w:rsidR="00A44535" w:rsidRPr="007D383E" w:rsidRDefault="00A44535" w:rsidP="00A44535">
            <w:pPr>
              <w:jc w:val="center"/>
            </w:pPr>
            <w:r w:rsidRPr="00383B4A">
              <w:t>RZE</w:t>
            </w:r>
          </w:p>
        </w:tc>
        <w:tc>
          <w:tcPr>
            <w:tcW w:w="0" w:type="auto"/>
            <w:noWrap/>
            <w:hideMark/>
          </w:tcPr>
          <w:p w14:paraId="3491686C" w14:textId="74DAD70E" w:rsidR="00A44535" w:rsidRPr="007D383E" w:rsidRDefault="00A44535" w:rsidP="00A44535">
            <w:pPr>
              <w:jc w:val="center"/>
            </w:pPr>
            <w:r w:rsidRPr="00383B4A">
              <w:t>23 024</w:t>
            </w:r>
          </w:p>
        </w:tc>
        <w:tc>
          <w:tcPr>
            <w:tcW w:w="0" w:type="auto"/>
            <w:noWrap/>
            <w:hideMark/>
          </w:tcPr>
          <w:p w14:paraId="495FCB87" w14:textId="645F6914" w:rsidR="00A44535" w:rsidRPr="007D383E" w:rsidRDefault="00A44535" w:rsidP="00A44535">
            <w:pPr>
              <w:jc w:val="center"/>
            </w:pPr>
            <w:r w:rsidRPr="00383B4A">
              <w:t>13%</w:t>
            </w:r>
          </w:p>
        </w:tc>
      </w:tr>
      <w:tr w:rsidR="00A44535" w:rsidRPr="007D383E" w14:paraId="173B8A69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2B3D1FE2" w14:textId="65148E53" w:rsidR="00A44535" w:rsidRPr="007D383E" w:rsidRDefault="00A44535" w:rsidP="00A44535">
            <w:pPr>
              <w:jc w:val="center"/>
            </w:pPr>
            <w:r w:rsidRPr="00383B4A">
              <w:t>SZZ</w:t>
            </w:r>
          </w:p>
        </w:tc>
        <w:tc>
          <w:tcPr>
            <w:tcW w:w="0" w:type="auto"/>
            <w:noWrap/>
            <w:hideMark/>
          </w:tcPr>
          <w:p w14:paraId="62FCFA0A" w14:textId="35030D77" w:rsidR="00A44535" w:rsidRPr="007D383E" w:rsidRDefault="00A44535" w:rsidP="00A44535">
            <w:pPr>
              <w:jc w:val="center"/>
            </w:pPr>
            <w:r w:rsidRPr="00383B4A">
              <w:t>354</w:t>
            </w:r>
          </w:p>
        </w:tc>
        <w:tc>
          <w:tcPr>
            <w:tcW w:w="0" w:type="auto"/>
            <w:noWrap/>
            <w:hideMark/>
          </w:tcPr>
          <w:p w14:paraId="1E1142C7" w14:textId="15A0728D" w:rsidR="00A44535" w:rsidRPr="007D383E" w:rsidRDefault="00A44535" w:rsidP="00A44535">
            <w:pPr>
              <w:jc w:val="center"/>
            </w:pPr>
            <w:r w:rsidRPr="00383B4A">
              <w:t>0%</w:t>
            </w:r>
          </w:p>
        </w:tc>
      </w:tr>
      <w:tr w:rsidR="00A44535" w:rsidRPr="007D383E" w14:paraId="08A757EE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6239A7DF" w14:textId="7A7FFA03" w:rsidR="00A44535" w:rsidRPr="007D383E" w:rsidRDefault="00A44535" w:rsidP="00A44535">
            <w:pPr>
              <w:jc w:val="center"/>
            </w:pPr>
            <w:r w:rsidRPr="00383B4A">
              <w:t>BZG</w:t>
            </w:r>
          </w:p>
        </w:tc>
        <w:tc>
          <w:tcPr>
            <w:tcW w:w="0" w:type="auto"/>
            <w:noWrap/>
            <w:hideMark/>
          </w:tcPr>
          <w:p w14:paraId="58EA0C06" w14:textId="1EDAB768" w:rsidR="00A44535" w:rsidRPr="007D383E" w:rsidRDefault="00A44535" w:rsidP="00A44535">
            <w:pPr>
              <w:jc w:val="center"/>
            </w:pPr>
            <w:r w:rsidRPr="00383B4A">
              <w:t>-3 693</w:t>
            </w:r>
          </w:p>
        </w:tc>
        <w:tc>
          <w:tcPr>
            <w:tcW w:w="0" w:type="auto"/>
            <w:noWrap/>
            <w:hideMark/>
          </w:tcPr>
          <w:p w14:paraId="25DC1F3E" w14:textId="63EAFF6E" w:rsidR="00A44535" w:rsidRPr="007D383E" w:rsidRDefault="00A44535" w:rsidP="00A44535">
            <w:pPr>
              <w:jc w:val="center"/>
            </w:pPr>
            <w:r w:rsidRPr="00383B4A">
              <w:t>-5%</w:t>
            </w:r>
          </w:p>
        </w:tc>
      </w:tr>
      <w:tr w:rsidR="00A44535" w:rsidRPr="007D383E" w14:paraId="0848CEC4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16E5071A" w14:textId="051960E9" w:rsidR="00A44535" w:rsidRPr="007D383E" w:rsidRDefault="00A44535" w:rsidP="00A44535">
            <w:pPr>
              <w:jc w:val="center"/>
            </w:pPr>
            <w:r w:rsidRPr="00383B4A">
              <w:t>LUZ</w:t>
            </w:r>
          </w:p>
        </w:tc>
        <w:tc>
          <w:tcPr>
            <w:tcW w:w="0" w:type="auto"/>
            <w:noWrap/>
            <w:hideMark/>
          </w:tcPr>
          <w:p w14:paraId="6B4E286A" w14:textId="6BCEC3B6" w:rsidR="00A44535" w:rsidRPr="007D383E" w:rsidRDefault="00A44535" w:rsidP="00A44535">
            <w:pPr>
              <w:jc w:val="center"/>
            </w:pPr>
            <w:r w:rsidRPr="00383B4A">
              <w:t>4 143</w:t>
            </w:r>
          </w:p>
        </w:tc>
        <w:tc>
          <w:tcPr>
            <w:tcW w:w="0" w:type="auto"/>
            <w:noWrap/>
            <w:hideMark/>
          </w:tcPr>
          <w:p w14:paraId="30715EA6" w14:textId="3BA901BF" w:rsidR="00A44535" w:rsidRPr="007D383E" w:rsidRDefault="00A44535" w:rsidP="00A44535">
            <w:pPr>
              <w:jc w:val="center"/>
            </w:pPr>
            <w:r w:rsidRPr="00383B4A">
              <w:t>6%</w:t>
            </w:r>
          </w:p>
        </w:tc>
      </w:tr>
      <w:tr w:rsidR="00A44535" w:rsidRPr="007D383E" w14:paraId="4361E22B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6C30DB1D" w14:textId="7C045254" w:rsidR="00A44535" w:rsidRPr="007D383E" w:rsidRDefault="00A44535" w:rsidP="00A44535">
            <w:pPr>
              <w:jc w:val="center"/>
            </w:pPr>
            <w:r w:rsidRPr="00383B4A">
              <w:t>LCJ</w:t>
            </w:r>
          </w:p>
        </w:tc>
        <w:tc>
          <w:tcPr>
            <w:tcW w:w="0" w:type="auto"/>
            <w:noWrap/>
            <w:hideMark/>
          </w:tcPr>
          <w:p w14:paraId="2952E44B" w14:textId="7B561F3A" w:rsidR="00A44535" w:rsidRPr="007D383E" w:rsidRDefault="00A44535" w:rsidP="00A44535">
            <w:pPr>
              <w:jc w:val="center"/>
            </w:pPr>
            <w:r w:rsidRPr="00383B4A">
              <w:t>-101</w:t>
            </w:r>
          </w:p>
        </w:tc>
        <w:tc>
          <w:tcPr>
            <w:tcW w:w="0" w:type="auto"/>
            <w:noWrap/>
            <w:hideMark/>
          </w:tcPr>
          <w:p w14:paraId="6C0CD55B" w14:textId="3877BF51" w:rsidR="00A44535" w:rsidRPr="007D383E" w:rsidRDefault="00A44535" w:rsidP="00A44535">
            <w:pPr>
              <w:jc w:val="center"/>
            </w:pPr>
            <w:r w:rsidRPr="00383B4A">
              <w:t>0%</w:t>
            </w:r>
          </w:p>
        </w:tc>
      </w:tr>
      <w:tr w:rsidR="00A44535" w:rsidRPr="007D383E" w14:paraId="3D11F581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1D2E6ADB" w14:textId="652E9FFD" w:rsidR="00A44535" w:rsidRPr="007D383E" w:rsidRDefault="00A44535" w:rsidP="00A44535">
            <w:pPr>
              <w:jc w:val="center"/>
            </w:pPr>
            <w:r w:rsidRPr="00383B4A">
              <w:t>SZY</w:t>
            </w:r>
          </w:p>
        </w:tc>
        <w:tc>
          <w:tcPr>
            <w:tcW w:w="0" w:type="auto"/>
            <w:noWrap/>
            <w:hideMark/>
          </w:tcPr>
          <w:p w14:paraId="18C6283B" w14:textId="06EB7E80" w:rsidR="00A44535" w:rsidRPr="007D383E" w:rsidRDefault="00A44535" w:rsidP="00A44535">
            <w:pPr>
              <w:jc w:val="center"/>
            </w:pPr>
            <w:r w:rsidRPr="00383B4A">
              <w:t>-11 360</w:t>
            </w:r>
          </w:p>
        </w:tc>
        <w:tc>
          <w:tcPr>
            <w:tcW w:w="0" w:type="auto"/>
            <w:noWrap/>
            <w:hideMark/>
          </w:tcPr>
          <w:p w14:paraId="05021CA7" w14:textId="7C1C2A61" w:rsidR="00A44535" w:rsidRPr="007D383E" w:rsidRDefault="00A44535" w:rsidP="00A44535">
            <w:pPr>
              <w:jc w:val="center"/>
            </w:pPr>
            <w:r w:rsidRPr="00383B4A">
              <w:t>-47%</w:t>
            </w:r>
          </w:p>
        </w:tc>
      </w:tr>
      <w:tr w:rsidR="00A44535" w:rsidRPr="007D383E" w14:paraId="4D7C4C4A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75043099" w14:textId="1D965F99" w:rsidR="00A44535" w:rsidRPr="007D383E" w:rsidRDefault="00A44535" w:rsidP="00A44535">
            <w:pPr>
              <w:jc w:val="center"/>
            </w:pPr>
            <w:r w:rsidRPr="00383B4A">
              <w:t>IEG</w:t>
            </w:r>
          </w:p>
        </w:tc>
        <w:tc>
          <w:tcPr>
            <w:tcW w:w="0" w:type="auto"/>
            <w:noWrap/>
            <w:hideMark/>
          </w:tcPr>
          <w:p w14:paraId="3CC95C83" w14:textId="606ACD02" w:rsidR="00A44535" w:rsidRPr="007D383E" w:rsidRDefault="00A44535" w:rsidP="00A44535">
            <w:pPr>
              <w:jc w:val="center"/>
            </w:pPr>
            <w:r w:rsidRPr="00383B4A">
              <w:t>3 819</w:t>
            </w:r>
          </w:p>
        </w:tc>
        <w:tc>
          <w:tcPr>
            <w:tcW w:w="0" w:type="auto"/>
            <w:noWrap/>
            <w:hideMark/>
          </w:tcPr>
          <w:p w14:paraId="13EEDC0B" w14:textId="65DD8B86" w:rsidR="00A44535" w:rsidRPr="007D383E" w:rsidRDefault="00A44535" w:rsidP="00A44535">
            <w:pPr>
              <w:jc w:val="center"/>
            </w:pPr>
            <w:r w:rsidRPr="00383B4A">
              <w:t>32%</w:t>
            </w:r>
          </w:p>
        </w:tc>
      </w:tr>
      <w:tr w:rsidR="00A44535" w:rsidRPr="007D383E" w14:paraId="01894411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hideMark/>
          </w:tcPr>
          <w:p w14:paraId="348798DC" w14:textId="1A554979" w:rsidR="00A44535" w:rsidRPr="007D383E" w:rsidRDefault="00A44535" w:rsidP="00A44535">
            <w:pPr>
              <w:jc w:val="center"/>
            </w:pPr>
            <w:r w:rsidRPr="00383B4A">
              <w:t>RDO</w:t>
            </w:r>
          </w:p>
        </w:tc>
        <w:tc>
          <w:tcPr>
            <w:tcW w:w="0" w:type="auto"/>
            <w:noWrap/>
            <w:hideMark/>
          </w:tcPr>
          <w:p w14:paraId="510011ED" w14:textId="245F9F46" w:rsidR="00A44535" w:rsidRPr="007D383E" w:rsidRDefault="00A44535" w:rsidP="00A44535">
            <w:pPr>
              <w:jc w:val="center"/>
            </w:pPr>
            <w:r w:rsidRPr="00383B4A">
              <w:t>-5 313</w:t>
            </w:r>
          </w:p>
        </w:tc>
        <w:tc>
          <w:tcPr>
            <w:tcW w:w="0" w:type="auto"/>
            <w:noWrap/>
            <w:hideMark/>
          </w:tcPr>
          <w:p w14:paraId="0ABCA16B" w14:textId="2E830250" w:rsidR="00A44535" w:rsidRPr="007D383E" w:rsidRDefault="00A44535" w:rsidP="00A44535">
            <w:pPr>
              <w:jc w:val="center"/>
            </w:pPr>
            <w:r w:rsidRPr="00383B4A">
              <w:t>-28%</w:t>
            </w:r>
          </w:p>
        </w:tc>
      </w:tr>
    </w:tbl>
    <w:p w14:paraId="0A04EA84" w14:textId="26DE0AA5" w:rsidR="006F5634" w:rsidRDefault="00F66FAD" w:rsidP="00D10B80">
      <w:pPr>
        <w:pStyle w:val="Legenda"/>
        <w:spacing w:after="1680"/>
        <w:rPr>
          <w:noProof/>
        </w:rPr>
      </w:pPr>
      <w:bookmarkStart w:id="37" w:name="_Toc20053853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5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 – kwartał</w:t>
      </w:r>
      <w:bookmarkEnd w:id="37"/>
    </w:p>
    <w:p w14:paraId="79A56F1E" w14:textId="77777777" w:rsidR="003B103F" w:rsidRPr="007D383E" w:rsidRDefault="00D17090" w:rsidP="0081301C">
      <w:pPr>
        <w:pStyle w:val="Nagwek1"/>
        <w:ind w:left="1418"/>
      </w:pPr>
      <w:bookmarkStart w:id="38" w:name="_Toc200533899"/>
      <w:r w:rsidRPr="007D383E">
        <w:lastRenderedPageBreak/>
        <w:t>Przewozy międzynarodowe –</w:t>
      </w:r>
      <w:r w:rsidR="00B35E70" w:rsidRPr="007D383E">
        <w:t xml:space="preserve"> </w:t>
      </w:r>
      <w:r w:rsidRPr="007D383E">
        <w:t>porównanie ACI EUROPE</w:t>
      </w:r>
      <w:bookmarkEnd w:id="38"/>
    </w:p>
    <w:p w14:paraId="7CA07962" w14:textId="1D153815" w:rsidR="00437EE7" w:rsidRPr="007D383E" w:rsidRDefault="00E11F32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437EE7" w:rsidRPr="007D383E">
        <w:rPr>
          <w:rFonts w:cstheme="minorHAnsi"/>
          <w:szCs w:val="24"/>
        </w:rPr>
        <w:t xml:space="preserve"> </w:t>
      </w:r>
      <w:r w:rsidR="005F5B27">
        <w:rPr>
          <w:rFonts w:cstheme="minorHAnsi"/>
          <w:szCs w:val="24"/>
        </w:rPr>
        <w:t xml:space="preserve">pierwszym kwartale </w:t>
      </w:r>
      <w:r w:rsidR="00437EE7" w:rsidRPr="007D383E">
        <w:rPr>
          <w:rFonts w:cstheme="minorHAnsi"/>
          <w:szCs w:val="24"/>
        </w:rPr>
        <w:t>202</w:t>
      </w:r>
      <w:r w:rsidR="005F5B27">
        <w:rPr>
          <w:rFonts w:cstheme="minorHAnsi"/>
          <w:szCs w:val="24"/>
        </w:rPr>
        <w:t>5</w:t>
      </w:r>
      <w:r w:rsidR="00437EE7" w:rsidRPr="007D383E">
        <w:rPr>
          <w:rFonts w:cstheme="minorHAnsi"/>
          <w:szCs w:val="24"/>
        </w:rPr>
        <w:t xml:space="preserve"> roku przewozy międzynarodowe w Polsce zanotowały wyższą dynamikę ruchu </w:t>
      </w:r>
      <w:r w:rsidR="00854EAD">
        <w:rPr>
          <w:rFonts w:cstheme="minorHAnsi"/>
          <w:szCs w:val="24"/>
        </w:rPr>
        <w:t xml:space="preserve">(+12,7%) </w:t>
      </w:r>
      <w:r w:rsidR="00437EE7" w:rsidRPr="007D383E">
        <w:rPr>
          <w:rFonts w:cstheme="minorHAnsi"/>
          <w:szCs w:val="24"/>
        </w:rPr>
        <w:t>w porównaniu do przewozów międzynarodowych zrealizowanych przez porty ACI</w:t>
      </w:r>
      <w:r w:rsidR="00437EE7" w:rsidRPr="007D383E">
        <w:rPr>
          <w:rStyle w:val="Odwoanieprzypisudolnego"/>
          <w:rFonts w:cstheme="minorHAnsi"/>
          <w:szCs w:val="24"/>
        </w:rPr>
        <w:footnoteReference w:id="5"/>
      </w:r>
      <w:r w:rsidR="00A332A6">
        <w:rPr>
          <w:rFonts w:cstheme="minorHAnsi"/>
          <w:szCs w:val="24"/>
        </w:rPr>
        <w:t xml:space="preserve"> (o </w:t>
      </w:r>
      <w:r w:rsidR="00854EAD">
        <w:rPr>
          <w:rFonts w:cstheme="minorHAnsi"/>
          <w:szCs w:val="24"/>
        </w:rPr>
        <w:t>7 punktów procentowych</w:t>
      </w:r>
      <w:r w:rsidR="00437EE7" w:rsidRPr="007D383E">
        <w:rPr>
          <w:rFonts w:cstheme="minorHAnsi"/>
          <w:szCs w:val="24"/>
        </w:rPr>
        <w:t>). Liczba międzynarodowych operacji pasażerskich z/do Polski</w:t>
      </w:r>
      <w:r w:rsidR="0056061B" w:rsidRPr="007D383E">
        <w:rPr>
          <w:rFonts w:cstheme="minorHAnsi"/>
          <w:szCs w:val="24"/>
        </w:rPr>
        <w:t xml:space="preserve"> </w:t>
      </w:r>
      <w:r w:rsidR="00437EE7" w:rsidRPr="007D383E">
        <w:rPr>
          <w:rFonts w:cstheme="minorHAnsi"/>
          <w:szCs w:val="24"/>
        </w:rPr>
        <w:t xml:space="preserve">w </w:t>
      </w:r>
      <w:r w:rsidR="00854EAD">
        <w:rPr>
          <w:rFonts w:cstheme="minorHAnsi"/>
          <w:szCs w:val="24"/>
        </w:rPr>
        <w:t xml:space="preserve">pierwszym kwartale </w:t>
      </w:r>
      <w:r w:rsidR="00854EAD" w:rsidRPr="007D383E">
        <w:rPr>
          <w:rFonts w:cstheme="minorHAnsi"/>
          <w:szCs w:val="24"/>
        </w:rPr>
        <w:t>202</w:t>
      </w:r>
      <w:r w:rsidR="00854EAD">
        <w:rPr>
          <w:rFonts w:cstheme="minorHAnsi"/>
          <w:szCs w:val="24"/>
        </w:rPr>
        <w:t>5</w:t>
      </w:r>
      <w:r w:rsidR="00854EAD" w:rsidRPr="007D383E">
        <w:rPr>
          <w:rFonts w:cstheme="minorHAnsi"/>
          <w:szCs w:val="24"/>
        </w:rPr>
        <w:t xml:space="preserve"> </w:t>
      </w:r>
      <w:r w:rsidR="00437EE7" w:rsidRPr="007D383E">
        <w:rPr>
          <w:rFonts w:cstheme="minorHAnsi"/>
          <w:szCs w:val="24"/>
        </w:rPr>
        <w:t>roku wzrosła o </w:t>
      </w:r>
      <w:r w:rsidR="00854EAD">
        <w:rPr>
          <w:rFonts w:cstheme="minorHAnsi"/>
          <w:szCs w:val="24"/>
        </w:rPr>
        <w:t>9,9</w:t>
      </w:r>
      <w:r w:rsidR="00437EE7" w:rsidRPr="007D383E">
        <w:rPr>
          <w:rFonts w:cstheme="minorHAnsi"/>
          <w:szCs w:val="24"/>
        </w:rPr>
        <w:t xml:space="preserve">% względem </w:t>
      </w:r>
      <w:r w:rsidR="00854EAD">
        <w:rPr>
          <w:rFonts w:cstheme="minorHAnsi"/>
          <w:szCs w:val="24"/>
        </w:rPr>
        <w:t xml:space="preserve">analogicznego okresu </w:t>
      </w:r>
      <w:r w:rsidR="00437EE7" w:rsidRPr="007D383E">
        <w:rPr>
          <w:rFonts w:cstheme="minorHAnsi"/>
          <w:szCs w:val="24"/>
        </w:rPr>
        <w:t>202</w:t>
      </w:r>
      <w:r w:rsidR="00854EAD">
        <w:rPr>
          <w:rFonts w:cstheme="minorHAnsi"/>
          <w:szCs w:val="24"/>
        </w:rPr>
        <w:t>4</w:t>
      </w:r>
      <w:r w:rsidR="00437EE7" w:rsidRPr="007D383E">
        <w:rPr>
          <w:rFonts w:cstheme="minorHAnsi"/>
          <w:szCs w:val="24"/>
        </w:rPr>
        <w:t xml:space="preserve"> roku. </w:t>
      </w:r>
    </w:p>
    <w:p w14:paraId="335D960B" w14:textId="0DAD0AB9" w:rsidR="00437EE7" w:rsidRPr="007D383E" w:rsidRDefault="006D70DF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Wzrosty</w:t>
      </w:r>
      <w:r w:rsidR="00437EE7" w:rsidRPr="007D383E">
        <w:rPr>
          <w:rFonts w:cstheme="minorHAnsi"/>
          <w:szCs w:val="24"/>
        </w:rPr>
        <w:t xml:space="preserve"> w ruchu międzynarodowym </w:t>
      </w:r>
      <w:r>
        <w:rPr>
          <w:rFonts w:cstheme="minorHAnsi"/>
          <w:szCs w:val="24"/>
        </w:rPr>
        <w:t xml:space="preserve">w </w:t>
      </w:r>
      <w:r w:rsidR="00854EAD">
        <w:rPr>
          <w:rFonts w:cstheme="minorHAnsi"/>
          <w:szCs w:val="24"/>
        </w:rPr>
        <w:t xml:space="preserve">pierwszym kwartale </w:t>
      </w:r>
      <w:r w:rsidR="00854EAD" w:rsidRPr="007D383E">
        <w:rPr>
          <w:rFonts w:cstheme="minorHAnsi"/>
          <w:szCs w:val="24"/>
        </w:rPr>
        <w:t>202</w:t>
      </w:r>
      <w:r w:rsidR="00854EAD">
        <w:rPr>
          <w:rFonts w:cstheme="minorHAnsi"/>
          <w:szCs w:val="24"/>
        </w:rPr>
        <w:t>5</w:t>
      </w:r>
      <w:r w:rsidR="00854EAD"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roku</w:t>
      </w:r>
      <w:r w:rsidR="00437EE7"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odnotowały</w:t>
      </w:r>
      <w:r w:rsidR="00437EE7" w:rsidRPr="007D383E">
        <w:rPr>
          <w:rFonts w:cstheme="minorHAnsi"/>
          <w:szCs w:val="24"/>
        </w:rPr>
        <w:t xml:space="preserve"> przewozy w ruchu regularnym (+</w:t>
      </w:r>
      <w:r w:rsidR="00854EAD">
        <w:rPr>
          <w:rFonts w:cstheme="minorHAnsi"/>
          <w:szCs w:val="24"/>
        </w:rPr>
        <w:t>1</w:t>
      </w:r>
      <w:r w:rsidR="00437EE7" w:rsidRPr="007D383E">
        <w:rPr>
          <w:rFonts w:cstheme="minorHAnsi"/>
          <w:szCs w:val="24"/>
        </w:rPr>
        <w:t xml:space="preserve"> mln pasażerów w porównaniu z </w:t>
      </w:r>
      <w:r w:rsidR="00854EAD">
        <w:rPr>
          <w:rFonts w:cstheme="minorHAnsi"/>
          <w:szCs w:val="24"/>
        </w:rPr>
        <w:t>tym samym okresem</w:t>
      </w:r>
      <w:r w:rsidR="007B789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</w:t>
      </w:r>
      <w:r w:rsidR="00854EAD">
        <w:rPr>
          <w:rFonts w:cstheme="minorHAnsi"/>
          <w:szCs w:val="24"/>
        </w:rPr>
        <w:t>4 roku</w:t>
      </w:r>
      <w:r w:rsidR="00437EE7" w:rsidRPr="007D383E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 oraz w </w:t>
      </w:r>
      <w:r w:rsidR="00437EE7" w:rsidRPr="007D383E">
        <w:rPr>
          <w:rFonts w:cstheme="minorHAnsi"/>
          <w:szCs w:val="24"/>
        </w:rPr>
        <w:t>czarterowym (+</w:t>
      </w:r>
      <w:r w:rsidR="00854EAD">
        <w:rPr>
          <w:rFonts w:cstheme="minorHAnsi"/>
          <w:szCs w:val="24"/>
        </w:rPr>
        <w:t>269,1 tys.</w:t>
      </w:r>
      <w:r w:rsidR="00437EE7" w:rsidRPr="007D383E">
        <w:rPr>
          <w:rFonts w:cstheme="minorHAnsi"/>
          <w:szCs w:val="24"/>
        </w:rPr>
        <w:t xml:space="preserve"> pasażerów). W </w:t>
      </w:r>
      <w:r w:rsidR="007B789D">
        <w:rPr>
          <w:rFonts w:cstheme="minorHAnsi"/>
          <w:szCs w:val="24"/>
        </w:rPr>
        <w:t>ruchu regularnym</w:t>
      </w:r>
      <w:r w:rsidR="00437EE7" w:rsidRPr="007D383E">
        <w:rPr>
          <w:rFonts w:cstheme="minorHAnsi"/>
          <w:szCs w:val="24"/>
        </w:rPr>
        <w:t xml:space="preserve"> </w:t>
      </w:r>
      <w:r w:rsidR="007B789D">
        <w:rPr>
          <w:rFonts w:cstheme="minorHAnsi"/>
          <w:szCs w:val="24"/>
        </w:rPr>
        <w:t>największą liczbę pasażerów przewiózł</w:t>
      </w:r>
      <w:r w:rsidR="00437EE7" w:rsidRPr="007D383E">
        <w:rPr>
          <w:rFonts w:cstheme="minorHAnsi"/>
          <w:szCs w:val="24"/>
        </w:rPr>
        <w:t xml:space="preserve"> </w:t>
      </w:r>
      <w:r w:rsidR="007B789D">
        <w:rPr>
          <w:rFonts w:cstheme="minorHAnsi"/>
          <w:szCs w:val="24"/>
        </w:rPr>
        <w:t>ponownie</w:t>
      </w:r>
      <w:r w:rsidR="00437EE7" w:rsidRPr="007D383E">
        <w:rPr>
          <w:rFonts w:cstheme="minorHAnsi"/>
          <w:szCs w:val="24"/>
        </w:rPr>
        <w:t xml:space="preserve"> Ryanair</w:t>
      </w:r>
      <w:r w:rsidR="00854EAD">
        <w:rPr>
          <w:rFonts w:cstheme="minorHAnsi"/>
          <w:szCs w:val="24"/>
        </w:rPr>
        <w:t xml:space="preserve"> (3,6 mln)</w:t>
      </w:r>
      <w:r w:rsidR="00437EE7" w:rsidRPr="007D383E">
        <w:rPr>
          <w:rFonts w:cstheme="minorHAnsi"/>
          <w:szCs w:val="24"/>
        </w:rPr>
        <w:t xml:space="preserve">, który </w:t>
      </w:r>
      <w:r w:rsidR="002136D4">
        <w:rPr>
          <w:rFonts w:cstheme="minorHAnsi"/>
          <w:szCs w:val="24"/>
        </w:rPr>
        <w:t>miał</w:t>
      </w:r>
      <w:r w:rsidR="002136D4" w:rsidRPr="007D383E">
        <w:rPr>
          <w:rFonts w:cstheme="minorHAnsi"/>
          <w:szCs w:val="24"/>
        </w:rPr>
        <w:t xml:space="preserve"> </w:t>
      </w:r>
      <w:r w:rsidR="00854EAD">
        <w:rPr>
          <w:rFonts w:cstheme="minorHAnsi"/>
          <w:szCs w:val="24"/>
        </w:rPr>
        <w:t>drugi</w:t>
      </w:r>
      <w:r w:rsidR="00437EE7" w:rsidRPr="007D383E">
        <w:rPr>
          <w:rFonts w:cstheme="minorHAnsi"/>
          <w:szCs w:val="24"/>
        </w:rPr>
        <w:t xml:space="preserve"> największy wzrost ilościowy </w:t>
      </w:r>
      <w:r w:rsidR="007B789D">
        <w:rPr>
          <w:rFonts w:cstheme="minorHAnsi"/>
          <w:szCs w:val="24"/>
        </w:rPr>
        <w:t>obsługując</w:t>
      </w:r>
      <w:r w:rsidR="00437EE7" w:rsidRPr="007D383E">
        <w:rPr>
          <w:rFonts w:cstheme="minorHAnsi"/>
          <w:szCs w:val="24"/>
        </w:rPr>
        <w:t xml:space="preserve"> </w:t>
      </w:r>
      <w:r w:rsidR="00854EAD">
        <w:rPr>
          <w:rFonts w:cstheme="minorHAnsi"/>
          <w:szCs w:val="24"/>
        </w:rPr>
        <w:t>275,2 tys.</w:t>
      </w:r>
      <w:r w:rsidR="00437EE7" w:rsidRPr="007D383E">
        <w:rPr>
          <w:rFonts w:cstheme="minorHAnsi"/>
          <w:szCs w:val="24"/>
        </w:rPr>
        <w:t xml:space="preserve"> pasażerów więcej niż w </w:t>
      </w:r>
      <w:r w:rsidR="00854EAD">
        <w:rPr>
          <w:rFonts w:cstheme="minorHAnsi"/>
          <w:szCs w:val="24"/>
        </w:rPr>
        <w:t xml:space="preserve">analogicznym okresie </w:t>
      </w:r>
      <w:r w:rsidR="00437EE7" w:rsidRPr="007D383E">
        <w:rPr>
          <w:rFonts w:cstheme="minorHAnsi"/>
          <w:szCs w:val="24"/>
        </w:rPr>
        <w:t>202</w:t>
      </w:r>
      <w:r w:rsidR="00854EAD">
        <w:rPr>
          <w:rFonts w:cstheme="minorHAnsi"/>
          <w:szCs w:val="24"/>
        </w:rPr>
        <w:t>4</w:t>
      </w:r>
      <w:r w:rsidR="00437EE7" w:rsidRPr="007D383E">
        <w:rPr>
          <w:rFonts w:cstheme="minorHAnsi"/>
          <w:szCs w:val="24"/>
        </w:rPr>
        <w:t xml:space="preserve"> roku (+</w:t>
      </w:r>
      <w:r w:rsidR="00854EAD">
        <w:rPr>
          <w:rFonts w:cstheme="minorHAnsi"/>
          <w:szCs w:val="24"/>
        </w:rPr>
        <w:t>8,3</w:t>
      </w:r>
      <w:r w:rsidR="00437EE7" w:rsidRPr="007D383E">
        <w:rPr>
          <w:rFonts w:cstheme="minorHAnsi"/>
          <w:szCs w:val="24"/>
        </w:rPr>
        <w:t xml:space="preserve">%). </w:t>
      </w:r>
      <w:r w:rsidR="00854EAD">
        <w:rPr>
          <w:rFonts w:cstheme="minorHAnsi"/>
          <w:szCs w:val="24"/>
        </w:rPr>
        <w:t>N</w:t>
      </w:r>
      <w:r w:rsidR="00437EE7" w:rsidRPr="007D383E">
        <w:rPr>
          <w:rFonts w:cstheme="minorHAnsi"/>
          <w:szCs w:val="24"/>
        </w:rPr>
        <w:t xml:space="preserve">ajwiększy wzrost ilościowy odnotował Wizz Air zwiększając liczbę przewiezionych pasażerów o </w:t>
      </w:r>
      <w:r w:rsidR="00854EAD">
        <w:rPr>
          <w:rFonts w:cstheme="minorHAnsi"/>
          <w:szCs w:val="24"/>
        </w:rPr>
        <w:t>317,7</w:t>
      </w:r>
      <w:r w:rsidR="00437EE7" w:rsidRPr="007D383E">
        <w:rPr>
          <w:rFonts w:cstheme="minorHAnsi"/>
          <w:szCs w:val="24"/>
        </w:rPr>
        <w:t xml:space="preserve"> tys.</w:t>
      </w:r>
      <w:r w:rsidR="00854EAD">
        <w:rPr>
          <w:rFonts w:cstheme="minorHAnsi"/>
          <w:szCs w:val="24"/>
        </w:rPr>
        <w:t xml:space="preserve"> Przewoźnik obsłużył w tym okresie 2,8 mln pasażerów.</w:t>
      </w:r>
      <w:r w:rsidR="007B789D">
        <w:rPr>
          <w:rFonts w:cstheme="minorHAnsi"/>
          <w:szCs w:val="24"/>
        </w:rPr>
        <w:t xml:space="preserve"> Na kolejnym miejscu znajdował się PLL LOT, który przewiózł w </w:t>
      </w:r>
      <w:r w:rsidR="00854EAD">
        <w:rPr>
          <w:rFonts w:cstheme="minorHAnsi"/>
          <w:szCs w:val="24"/>
        </w:rPr>
        <w:t xml:space="preserve">pierwszym kwartale </w:t>
      </w:r>
      <w:r w:rsidR="00854EAD" w:rsidRPr="007D383E">
        <w:rPr>
          <w:rFonts w:cstheme="minorHAnsi"/>
          <w:szCs w:val="24"/>
        </w:rPr>
        <w:t>202</w:t>
      </w:r>
      <w:r w:rsidR="00854EAD">
        <w:rPr>
          <w:rFonts w:cstheme="minorHAnsi"/>
          <w:szCs w:val="24"/>
        </w:rPr>
        <w:t>5</w:t>
      </w:r>
      <w:r w:rsidR="00854EAD" w:rsidRPr="007D383E">
        <w:rPr>
          <w:rFonts w:cstheme="minorHAnsi"/>
          <w:szCs w:val="24"/>
        </w:rPr>
        <w:t xml:space="preserve"> </w:t>
      </w:r>
      <w:r w:rsidR="007B789D">
        <w:rPr>
          <w:rFonts w:cstheme="minorHAnsi"/>
          <w:szCs w:val="24"/>
        </w:rPr>
        <w:t xml:space="preserve">roku </w:t>
      </w:r>
      <w:r w:rsidR="00854EAD">
        <w:rPr>
          <w:rFonts w:cstheme="minorHAnsi"/>
          <w:szCs w:val="24"/>
        </w:rPr>
        <w:t xml:space="preserve">1,8 mln pasażerów, a więc </w:t>
      </w:r>
      <w:r w:rsidR="007B789D">
        <w:rPr>
          <w:rFonts w:cstheme="minorHAnsi"/>
          <w:szCs w:val="24"/>
        </w:rPr>
        <w:t xml:space="preserve">o </w:t>
      </w:r>
      <w:r w:rsidR="00854EAD">
        <w:rPr>
          <w:rFonts w:cstheme="minorHAnsi"/>
          <w:szCs w:val="24"/>
        </w:rPr>
        <w:t>193,4</w:t>
      </w:r>
      <w:r w:rsidR="007B789D">
        <w:rPr>
          <w:rFonts w:cstheme="minorHAnsi"/>
          <w:szCs w:val="24"/>
        </w:rPr>
        <w:t xml:space="preserve"> tys. pasażerów więcej niż w </w:t>
      </w:r>
      <w:r w:rsidR="00854EAD">
        <w:rPr>
          <w:rFonts w:cstheme="minorHAnsi"/>
          <w:szCs w:val="24"/>
        </w:rPr>
        <w:t xml:space="preserve">analogicznym okresie </w:t>
      </w:r>
      <w:r w:rsidR="007B789D">
        <w:rPr>
          <w:rFonts w:cstheme="minorHAnsi"/>
          <w:szCs w:val="24"/>
        </w:rPr>
        <w:t>202</w:t>
      </w:r>
      <w:r w:rsidR="00854EAD">
        <w:rPr>
          <w:rFonts w:cstheme="minorHAnsi"/>
          <w:szCs w:val="24"/>
        </w:rPr>
        <w:t>4</w:t>
      </w:r>
      <w:r w:rsidR="007B789D">
        <w:rPr>
          <w:rFonts w:cstheme="minorHAnsi"/>
          <w:szCs w:val="24"/>
        </w:rPr>
        <w:t xml:space="preserve"> roku</w:t>
      </w:r>
      <w:r w:rsidR="002136D4">
        <w:rPr>
          <w:rFonts w:cstheme="minorHAnsi"/>
          <w:szCs w:val="24"/>
        </w:rPr>
        <w:t>.</w:t>
      </w:r>
      <w:r w:rsidR="007B789D">
        <w:rPr>
          <w:rFonts w:cstheme="minorHAnsi"/>
          <w:szCs w:val="24"/>
        </w:rPr>
        <w:t xml:space="preserve"> </w:t>
      </w:r>
    </w:p>
    <w:p w14:paraId="2851FE23" w14:textId="4B4F4F96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Średnia wielkość samolotów</w:t>
      </w:r>
      <w:r w:rsidR="00D0594C">
        <w:rPr>
          <w:rFonts w:cstheme="minorHAnsi"/>
          <w:szCs w:val="24"/>
        </w:rPr>
        <w:t xml:space="preserve"> w ruchu międzynarodowym</w:t>
      </w:r>
      <w:r w:rsidRPr="007D383E">
        <w:rPr>
          <w:rFonts w:cstheme="minorHAnsi"/>
          <w:szCs w:val="24"/>
        </w:rPr>
        <w:t xml:space="preserve"> </w:t>
      </w:r>
      <w:r w:rsidR="00D0594C">
        <w:rPr>
          <w:rFonts w:cstheme="minorHAnsi"/>
          <w:szCs w:val="24"/>
        </w:rPr>
        <w:t xml:space="preserve">regularnym i czarterowym </w:t>
      </w:r>
      <w:r w:rsidR="007F46BD">
        <w:rPr>
          <w:rFonts w:cstheme="minorHAnsi"/>
          <w:szCs w:val="24"/>
        </w:rPr>
        <w:t xml:space="preserve">w </w:t>
      </w:r>
      <w:r w:rsidR="00854EAD">
        <w:rPr>
          <w:rFonts w:cstheme="minorHAnsi"/>
          <w:szCs w:val="24"/>
        </w:rPr>
        <w:t xml:space="preserve">pierwszym kwartale </w:t>
      </w:r>
      <w:r w:rsidR="00854EAD" w:rsidRPr="007D383E">
        <w:rPr>
          <w:rFonts w:cstheme="minorHAnsi"/>
          <w:szCs w:val="24"/>
        </w:rPr>
        <w:t>202</w:t>
      </w:r>
      <w:r w:rsidR="00854EAD">
        <w:rPr>
          <w:rFonts w:cstheme="minorHAnsi"/>
          <w:szCs w:val="24"/>
        </w:rPr>
        <w:t>5</w:t>
      </w:r>
      <w:r w:rsidR="00854EAD" w:rsidRPr="007D383E">
        <w:rPr>
          <w:rFonts w:cstheme="minorHAnsi"/>
          <w:szCs w:val="24"/>
        </w:rPr>
        <w:t xml:space="preserve"> </w:t>
      </w:r>
      <w:r w:rsidR="007F46BD">
        <w:rPr>
          <w:rFonts w:cstheme="minorHAnsi"/>
          <w:szCs w:val="24"/>
        </w:rPr>
        <w:t>roku wzrosła o 1 miejsce</w:t>
      </w:r>
      <w:r w:rsidR="00854EAD">
        <w:rPr>
          <w:rFonts w:cstheme="minorHAnsi"/>
          <w:szCs w:val="24"/>
        </w:rPr>
        <w:t xml:space="preserve"> względem pierwszego kwartału 2024 roku</w:t>
      </w:r>
      <w:r w:rsidR="001D7715">
        <w:rPr>
          <w:rFonts w:cstheme="minorHAnsi"/>
          <w:szCs w:val="24"/>
        </w:rPr>
        <w:t xml:space="preserve"> (średnio 174 miejsca)</w:t>
      </w:r>
      <w:r w:rsidRPr="007D383E">
        <w:rPr>
          <w:rFonts w:cstheme="minorHAnsi"/>
          <w:szCs w:val="24"/>
        </w:rPr>
        <w:t xml:space="preserve">. Oferowanie </w:t>
      </w:r>
      <w:r w:rsidR="002136D4">
        <w:rPr>
          <w:rFonts w:cstheme="minorHAnsi"/>
          <w:szCs w:val="24"/>
        </w:rPr>
        <w:t>było wyższe</w:t>
      </w:r>
      <w:r w:rsidR="002136D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o </w:t>
      </w:r>
      <w:r w:rsidR="00854EAD">
        <w:rPr>
          <w:rFonts w:cstheme="minorHAnsi"/>
          <w:szCs w:val="24"/>
        </w:rPr>
        <w:t>11</w:t>
      </w:r>
      <w:r w:rsidRPr="007D383E">
        <w:rPr>
          <w:rFonts w:cstheme="minorHAnsi"/>
          <w:szCs w:val="24"/>
        </w:rPr>
        <w:t xml:space="preserve">%. </w:t>
      </w:r>
    </w:p>
    <w:p w14:paraId="6C8F4BE5" w14:textId="30DC9090" w:rsidR="003B103F" w:rsidRPr="007D383E" w:rsidRDefault="00854EAD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437EE7" w:rsidRPr="007D383E">
        <w:rPr>
          <w:rFonts w:cstheme="minorHAnsi"/>
          <w:szCs w:val="24"/>
        </w:rPr>
        <w:t xml:space="preserve">skaźnik LF </w:t>
      </w:r>
      <w:r w:rsidR="007F46BD">
        <w:rPr>
          <w:rFonts w:cstheme="minorHAnsi"/>
          <w:szCs w:val="24"/>
        </w:rPr>
        <w:t xml:space="preserve">dla operacji międzynarodowych </w:t>
      </w:r>
      <w:r w:rsidR="00437EE7" w:rsidRPr="007D383E">
        <w:rPr>
          <w:rFonts w:cstheme="minorHAnsi"/>
          <w:szCs w:val="24"/>
        </w:rPr>
        <w:t xml:space="preserve">wyniósł </w:t>
      </w:r>
      <w:r>
        <w:rPr>
          <w:rFonts w:cstheme="minorHAnsi"/>
          <w:szCs w:val="24"/>
        </w:rPr>
        <w:t>86,8</w:t>
      </w:r>
      <w:r w:rsidR="00437EE7" w:rsidRPr="007D383E">
        <w:rPr>
          <w:rFonts w:cstheme="minorHAnsi"/>
          <w:szCs w:val="24"/>
        </w:rPr>
        <w:t xml:space="preserve">%, a S/F </w:t>
      </w:r>
      <w:r>
        <w:rPr>
          <w:rFonts w:cstheme="minorHAnsi"/>
          <w:szCs w:val="24"/>
        </w:rPr>
        <w:t>83,7</w:t>
      </w:r>
      <w:r w:rsidR="00437EE7" w:rsidRPr="007D383E">
        <w:rPr>
          <w:rFonts w:cstheme="minorHAnsi"/>
          <w:szCs w:val="24"/>
        </w:rPr>
        <w:t xml:space="preserve">%, co </w:t>
      </w:r>
      <w:r w:rsidR="00D0594C">
        <w:rPr>
          <w:rFonts w:cstheme="minorHAnsi"/>
          <w:szCs w:val="24"/>
        </w:rPr>
        <w:t xml:space="preserve">oznaczało </w:t>
      </w:r>
      <w:r w:rsidR="007F46BD">
        <w:rPr>
          <w:rFonts w:cstheme="minorHAnsi"/>
          <w:szCs w:val="24"/>
        </w:rPr>
        <w:t xml:space="preserve">wzrost o </w:t>
      </w:r>
      <w:r>
        <w:rPr>
          <w:rFonts w:cstheme="minorHAnsi"/>
          <w:szCs w:val="24"/>
        </w:rPr>
        <w:t>0,8</w:t>
      </w:r>
      <w:r w:rsidR="00D0594C">
        <w:rPr>
          <w:rFonts w:cstheme="minorHAnsi"/>
          <w:szCs w:val="24"/>
        </w:rPr>
        <w:t xml:space="preserve"> punktu procentowego dla wskaźnika LF i o </w:t>
      </w:r>
      <w:r>
        <w:rPr>
          <w:rFonts w:cstheme="minorHAnsi"/>
          <w:szCs w:val="24"/>
        </w:rPr>
        <w:t>1,3</w:t>
      </w:r>
      <w:r w:rsidR="00D0594C">
        <w:rPr>
          <w:rFonts w:cstheme="minorHAnsi"/>
          <w:szCs w:val="24"/>
        </w:rPr>
        <w:t xml:space="preserve"> punktu procentowego dla S/F</w:t>
      </w:r>
      <w:r w:rsidR="00E061A9">
        <w:rPr>
          <w:rFonts w:cstheme="minorHAnsi"/>
          <w:szCs w:val="24"/>
        </w:rPr>
        <w:t xml:space="preserve"> w </w:t>
      </w:r>
      <w:r w:rsidR="00437EE7" w:rsidRPr="007D383E">
        <w:rPr>
          <w:rFonts w:cstheme="minorHAnsi"/>
          <w:szCs w:val="24"/>
        </w:rPr>
        <w:t xml:space="preserve">porównaniu z </w:t>
      </w:r>
      <w:r>
        <w:rPr>
          <w:rFonts w:cstheme="minorHAnsi"/>
          <w:szCs w:val="24"/>
        </w:rPr>
        <w:t xml:space="preserve">pierwszym kwartałem </w:t>
      </w:r>
      <w:r w:rsidRPr="007D383E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roku</w:t>
      </w:r>
      <w:r w:rsidR="00437EE7" w:rsidRPr="007D383E">
        <w:rPr>
          <w:rFonts w:cstheme="minorHAnsi"/>
          <w:szCs w:val="24"/>
        </w:rPr>
        <w:t>.</w:t>
      </w:r>
      <w:r w:rsidR="0056061B" w:rsidRPr="007D383E">
        <w:rPr>
          <w:rFonts w:cstheme="minorHAnsi"/>
          <w:szCs w:val="24"/>
        </w:rPr>
        <w:t xml:space="preserve"> </w:t>
      </w:r>
    </w:p>
    <w:p w14:paraId="505F7F76" w14:textId="77777777" w:rsidR="00CE2032" w:rsidRPr="007D383E" w:rsidRDefault="00CE2032" w:rsidP="00727CA1">
      <w:pPr>
        <w:keepNext/>
        <w:spacing w:after="0"/>
        <w:jc w:val="center"/>
      </w:pPr>
      <w:r w:rsidRPr="007D383E">
        <w:rPr>
          <w:noProof/>
          <w:lang w:eastAsia="pl-PL"/>
        </w:rPr>
        <w:drawing>
          <wp:inline distT="0" distB="0" distL="0" distR="0" wp14:anchorId="308AF07F" wp14:editId="1D51EE03">
            <wp:extent cx="3600000" cy="1922400"/>
            <wp:effectExtent l="0" t="0" r="635" b="1905"/>
            <wp:docPr id="59" name="Wykres 59" descr="Wykres porównuje dynamikę przewozów międzynarodowych zrealizowanych w Polsce i portach zrzeszonych w ACI w minionych kwartałach roku bieżącego i poprzedniego. Dane przedstawione w Tabeli 8.1 poniżej." title="Wykres 8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AA9A1AA" w14:textId="776C1FA2" w:rsidR="00CE2032" w:rsidRPr="007D383E" w:rsidRDefault="00CE2032" w:rsidP="0089169E">
      <w:pPr>
        <w:pStyle w:val="Legenda"/>
        <w:spacing w:after="480"/>
        <w:rPr>
          <w:rFonts w:cstheme="minorHAnsi"/>
          <w:szCs w:val="24"/>
        </w:rPr>
      </w:pPr>
      <w:bookmarkStart w:id="39" w:name="_Toc20053493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B035D6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Przewozy międzynarodowe – wykres porównuje dynamikę przewozów międzynarodowych zrealizowanych w Polsce i portach zrzeszonych w ACI w </w:t>
      </w:r>
      <w:r w:rsidR="00A44535">
        <w:rPr>
          <w:noProof/>
        </w:rPr>
        <w:t xml:space="preserve">pierwszym kwartale </w:t>
      </w:r>
      <w:r w:rsidR="00E812E4" w:rsidRPr="007D383E">
        <w:rPr>
          <w:noProof/>
        </w:rPr>
        <w:t>202</w:t>
      </w:r>
      <w:r w:rsidR="00A44535">
        <w:rPr>
          <w:noProof/>
        </w:rPr>
        <w:t>5</w:t>
      </w:r>
      <w:r w:rsidR="00E812E4" w:rsidRPr="007D383E">
        <w:rPr>
          <w:noProof/>
        </w:rPr>
        <w:t xml:space="preserve"> i </w:t>
      </w:r>
      <w:r w:rsidR="00A44535">
        <w:rPr>
          <w:noProof/>
        </w:rPr>
        <w:t>2024</w:t>
      </w:r>
      <w:r w:rsidRPr="007D383E">
        <w:rPr>
          <w:noProof/>
        </w:rPr>
        <w:t xml:space="preserve"> roku.</w:t>
      </w:r>
      <w:bookmarkEnd w:id="39"/>
    </w:p>
    <w:tbl>
      <w:tblPr>
        <w:tblStyle w:val="Tabelaanaliza"/>
        <w:tblW w:w="3460" w:type="dxa"/>
        <w:jc w:val="center"/>
        <w:tblLook w:val="0420" w:firstRow="1" w:lastRow="0" w:firstColumn="0" w:lastColumn="0" w:noHBand="0" w:noVBand="1"/>
        <w:tblCaption w:val="Tabela 8.1 Przewozy międzynarodowe"/>
        <w:tblDescription w:val="Tabela porównuje dynamikę przewozów międzynarodowych zrealizowanych w Polsce i portach zrzeszonych w ACI w minionych kwartałach roku bieżącego i poprzedniego. "/>
      </w:tblPr>
      <w:tblGrid>
        <w:gridCol w:w="2120"/>
        <w:gridCol w:w="1340"/>
      </w:tblGrid>
      <w:tr w:rsidR="003B103F" w:rsidRPr="007D383E" w14:paraId="11E002F8" w14:textId="77777777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2120" w:type="dxa"/>
            <w:hideMark/>
          </w:tcPr>
          <w:p w14:paraId="58ABE1C1" w14:textId="77777777" w:rsidR="003B103F" w:rsidRPr="007D383E" w:rsidRDefault="003B103F" w:rsidP="00EF21A5">
            <w:pPr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 w:val="0"/>
                <w:bCs/>
                <w:szCs w:val="24"/>
              </w:rPr>
              <w:lastRenderedPageBreak/>
              <w:t>Międzynarodowe</w:t>
            </w:r>
          </w:p>
        </w:tc>
        <w:tc>
          <w:tcPr>
            <w:tcW w:w="1340" w:type="dxa"/>
            <w:hideMark/>
          </w:tcPr>
          <w:p w14:paraId="550091A3" w14:textId="77777777" w:rsidR="003B103F" w:rsidRPr="007D383E" w:rsidRDefault="003B103F" w:rsidP="00EF21A5">
            <w:pPr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 w:val="0"/>
                <w:bCs/>
                <w:szCs w:val="24"/>
              </w:rPr>
              <w:t>Wartość</w:t>
            </w:r>
          </w:p>
        </w:tc>
      </w:tr>
      <w:tr w:rsidR="00A44535" w:rsidRPr="007D383E" w14:paraId="0614483A" w14:textId="77777777" w:rsidTr="00E5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14:paraId="59DE9505" w14:textId="77777777" w:rsidR="00A44535" w:rsidRPr="007D383E" w:rsidRDefault="00A44535" w:rsidP="00A4453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340" w:type="dxa"/>
            <w:hideMark/>
          </w:tcPr>
          <w:p w14:paraId="4B07D21C" w14:textId="3DB67828" w:rsidR="00A44535" w:rsidRPr="007D383E" w:rsidRDefault="00A44535" w:rsidP="00A44535">
            <w:pPr>
              <w:jc w:val="center"/>
            </w:pPr>
            <w:r w:rsidRPr="008561FC">
              <w:t>12,71%</w:t>
            </w:r>
          </w:p>
        </w:tc>
      </w:tr>
      <w:tr w:rsidR="00A44535" w:rsidRPr="007D383E" w14:paraId="01649C5B" w14:textId="77777777" w:rsidTr="00E56D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14:paraId="53239A8F" w14:textId="77777777" w:rsidR="00A44535" w:rsidRPr="007D383E" w:rsidRDefault="00A44535" w:rsidP="00A4453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340" w:type="dxa"/>
            <w:hideMark/>
          </w:tcPr>
          <w:p w14:paraId="17ED305A" w14:textId="6FF0FD68" w:rsidR="00A44535" w:rsidRPr="007D383E" w:rsidRDefault="00A44535" w:rsidP="00A44535">
            <w:pPr>
              <w:jc w:val="center"/>
            </w:pPr>
            <w:r w:rsidRPr="008561FC">
              <w:t>5,70%</w:t>
            </w:r>
          </w:p>
        </w:tc>
      </w:tr>
    </w:tbl>
    <w:p w14:paraId="0BCEF041" w14:textId="70467382" w:rsidR="002D3C69" w:rsidRPr="007D383E" w:rsidRDefault="002D3C69">
      <w:pPr>
        <w:pStyle w:val="Legenda"/>
      </w:pPr>
      <w:bookmarkStart w:id="40" w:name="_Toc200538536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B035D6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Przewozy międzynarodowe</w:t>
      </w:r>
      <w:bookmarkEnd w:id="40"/>
    </w:p>
    <w:p w14:paraId="1CE3B300" w14:textId="77777777" w:rsidR="003B103F" w:rsidRPr="007D383E" w:rsidRDefault="00D17090" w:rsidP="005A6434">
      <w:pPr>
        <w:pStyle w:val="Nagwek1"/>
      </w:pPr>
      <w:bookmarkStart w:id="41" w:name="_Toc200533900"/>
      <w:r w:rsidRPr="007D383E">
        <w:t>Przewozy krajowe – porównanie z ACI EUROPE</w:t>
      </w:r>
      <w:bookmarkEnd w:id="41"/>
    </w:p>
    <w:p w14:paraId="2B1B1AF3" w14:textId="6E95F93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Dynamika przewozów krajowych w polskich portach lotniczych w </w:t>
      </w:r>
      <w:r w:rsidR="000D3331">
        <w:rPr>
          <w:rFonts w:cstheme="minorHAnsi"/>
          <w:szCs w:val="24"/>
        </w:rPr>
        <w:t xml:space="preserve">pierwszym kwartale </w:t>
      </w:r>
      <w:r w:rsidRPr="007D383E">
        <w:rPr>
          <w:rFonts w:cstheme="minorHAnsi"/>
          <w:szCs w:val="24"/>
        </w:rPr>
        <w:t>202</w:t>
      </w:r>
      <w:r w:rsidR="000D3331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roku kształtowała się na poziomie o </w:t>
      </w:r>
      <w:r w:rsidR="000D3331">
        <w:rPr>
          <w:rFonts w:cstheme="minorHAnsi"/>
          <w:szCs w:val="24"/>
        </w:rPr>
        <w:t>0,1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</w:t>
      </w:r>
      <w:r w:rsidR="000D3331">
        <w:rPr>
          <w:rFonts w:cstheme="minorHAnsi"/>
          <w:szCs w:val="24"/>
        </w:rPr>
        <w:t>wyższym</w:t>
      </w:r>
      <w:r w:rsidRPr="007D383E">
        <w:rPr>
          <w:rFonts w:cstheme="minorHAnsi"/>
          <w:szCs w:val="24"/>
        </w:rPr>
        <w:t xml:space="preserve"> niż w portach ACI Europe</w:t>
      </w:r>
      <w:r w:rsidRPr="007D383E">
        <w:rPr>
          <w:rStyle w:val="Odwoanieprzypisudolnego"/>
          <w:rFonts w:cstheme="minorHAnsi"/>
          <w:szCs w:val="24"/>
        </w:rPr>
        <w:footnoteReference w:id="6"/>
      </w:r>
      <w:r w:rsidRPr="007D383E">
        <w:rPr>
          <w:rFonts w:cstheme="minorHAnsi"/>
          <w:szCs w:val="24"/>
        </w:rPr>
        <w:t xml:space="preserve">. Liczba pasażerów w tym okresie </w:t>
      </w:r>
      <w:r w:rsidR="001D7715">
        <w:rPr>
          <w:rFonts w:cstheme="minorHAnsi"/>
          <w:szCs w:val="24"/>
        </w:rPr>
        <w:t>wzrosła</w:t>
      </w:r>
      <w:r w:rsidRPr="007D383E">
        <w:rPr>
          <w:rFonts w:cstheme="minorHAnsi"/>
          <w:szCs w:val="24"/>
        </w:rPr>
        <w:t xml:space="preserve"> o </w:t>
      </w:r>
      <w:r w:rsidR="001D7715">
        <w:rPr>
          <w:rFonts w:cstheme="minorHAnsi"/>
          <w:szCs w:val="24"/>
        </w:rPr>
        <w:t>0</w:t>
      </w:r>
      <w:r w:rsidR="000E6355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% względem </w:t>
      </w:r>
      <w:r w:rsidR="001D7715">
        <w:rPr>
          <w:rFonts w:cstheme="minorHAnsi"/>
          <w:szCs w:val="24"/>
        </w:rPr>
        <w:t xml:space="preserve">analogicznego okresu </w:t>
      </w:r>
      <w:r w:rsidRPr="007D383E">
        <w:rPr>
          <w:rFonts w:cstheme="minorHAnsi"/>
          <w:szCs w:val="24"/>
        </w:rPr>
        <w:t>202</w:t>
      </w:r>
      <w:r w:rsidR="001D7715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roku. Liczba operacji pasażerskich spadła </w:t>
      </w:r>
      <w:r w:rsidR="00236B0F">
        <w:rPr>
          <w:rFonts w:cstheme="minorHAnsi"/>
          <w:szCs w:val="24"/>
        </w:rPr>
        <w:t xml:space="preserve">natomiast </w:t>
      </w:r>
      <w:r w:rsidRPr="007D383E">
        <w:rPr>
          <w:rFonts w:cstheme="minorHAnsi"/>
          <w:szCs w:val="24"/>
        </w:rPr>
        <w:t>o </w:t>
      </w:r>
      <w:r w:rsidR="001D7715">
        <w:rPr>
          <w:rFonts w:cstheme="minorHAnsi"/>
          <w:szCs w:val="24"/>
        </w:rPr>
        <w:t>1,8</w:t>
      </w:r>
      <w:r w:rsidRPr="007D383E">
        <w:rPr>
          <w:rFonts w:cstheme="minorHAnsi"/>
          <w:szCs w:val="24"/>
        </w:rPr>
        <w:t>%</w:t>
      </w:r>
      <w:r w:rsidR="001D7715">
        <w:rPr>
          <w:rFonts w:cstheme="minorHAnsi"/>
          <w:szCs w:val="24"/>
        </w:rPr>
        <w:t>.</w:t>
      </w:r>
    </w:p>
    <w:p w14:paraId="43C5879C" w14:textId="50DEA95F" w:rsidR="001D7715" w:rsidRDefault="00236B0F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Średnia wielkość samolotu</w:t>
      </w:r>
      <w:r w:rsidR="00437EE7" w:rsidRPr="007D383E">
        <w:rPr>
          <w:rFonts w:cstheme="minorHAnsi"/>
          <w:szCs w:val="24"/>
        </w:rPr>
        <w:t xml:space="preserve"> spadła o </w:t>
      </w:r>
      <w:r w:rsidR="000E6355">
        <w:rPr>
          <w:rFonts w:cstheme="minorHAnsi"/>
          <w:szCs w:val="24"/>
        </w:rPr>
        <w:t>1 miejsc</w:t>
      </w:r>
      <w:r w:rsidR="00023A5E">
        <w:rPr>
          <w:rFonts w:cstheme="minorHAnsi"/>
          <w:szCs w:val="24"/>
        </w:rPr>
        <w:t>e</w:t>
      </w:r>
      <w:r w:rsidR="00437EE7" w:rsidRPr="007D383E">
        <w:rPr>
          <w:rFonts w:cstheme="minorHAnsi"/>
          <w:szCs w:val="24"/>
        </w:rPr>
        <w:t xml:space="preserve"> (średnio </w:t>
      </w:r>
      <w:r w:rsidR="001D7715">
        <w:rPr>
          <w:rFonts w:cstheme="minorHAnsi"/>
          <w:szCs w:val="24"/>
        </w:rPr>
        <w:t>97</w:t>
      </w:r>
      <w:r w:rsidR="00437EE7" w:rsidRPr="007D383E">
        <w:rPr>
          <w:rFonts w:cstheme="minorHAnsi"/>
          <w:szCs w:val="24"/>
        </w:rPr>
        <w:t xml:space="preserve"> miejsc) względem </w:t>
      </w:r>
      <w:r w:rsidR="001D7715">
        <w:rPr>
          <w:rFonts w:cstheme="minorHAnsi"/>
          <w:szCs w:val="24"/>
        </w:rPr>
        <w:t xml:space="preserve">pierwszego kwartału </w:t>
      </w:r>
      <w:r w:rsidR="001D7715" w:rsidRPr="007D383E">
        <w:rPr>
          <w:rFonts w:cstheme="minorHAnsi"/>
          <w:szCs w:val="24"/>
        </w:rPr>
        <w:t>202</w:t>
      </w:r>
      <w:r w:rsidR="001D7715">
        <w:rPr>
          <w:rFonts w:cstheme="minorHAnsi"/>
          <w:szCs w:val="24"/>
        </w:rPr>
        <w:t xml:space="preserve">4 </w:t>
      </w:r>
      <w:r w:rsidR="00437EE7" w:rsidRPr="007D383E">
        <w:rPr>
          <w:rFonts w:cstheme="minorHAnsi"/>
          <w:szCs w:val="24"/>
        </w:rPr>
        <w:t xml:space="preserve">roku. </w:t>
      </w:r>
      <w:r w:rsidR="001D7715">
        <w:rPr>
          <w:rFonts w:cstheme="minorHAnsi"/>
          <w:szCs w:val="24"/>
        </w:rPr>
        <w:t>Natomiast oferowanie spadło o 2,8%.</w:t>
      </w:r>
    </w:p>
    <w:p w14:paraId="0CC4CBDC" w14:textId="50CA0EDF" w:rsidR="00437EE7" w:rsidRPr="007D383E" w:rsidRDefault="001D7715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Wskaźnik LF wyniósł</w:t>
      </w:r>
      <w:r w:rsidR="000E635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68,2</w:t>
      </w:r>
      <w:r w:rsidR="00437EE7" w:rsidRPr="007D383E">
        <w:rPr>
          <w:rFonts w:cstheme="minorHAnsi"/>
          <w:szCs w:val="24"/>
        </w:rPr>
        <w:t>%</w:t>
      </w:r>
      <w:r>
        <w:rPr>
          <w:rFonts w:cstheme="minorHAnsi"/>
          <w:szCs w:val="24"/>
        </w:rPr>
        <w:t xml:space="preserve"> i wzrósł o 2,5 punktu procentowego, a S/F wzrósł o 2 punkty procentowe i wynosił 67,5%</w:t>
      </w:r>
      <w:r w:rsidR="00437EE7" w:rsidRPr="007D383E">
        <w:rPr>
          <w:rFonts w:cstheme="minorHAnsi"/>
          <w:szCs w:val="24"/>
        </w:rPr>
        <w:t xml:space="preserve">. </w:t>
      </w:r>
    </w:p>
    <w:p w14:paraId="74CD6021" w14:textId="521FDE85" w:rsidR="003B103F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Liderem pod względem liczby przewiezionych pasażerów</w:t>
      </w:r>
      <w:r w:rsidR="00A332A6">
        <w:rPr>
          <w:rFonts w:cstheme="minorHAnsi"/>
          <w:szCs w:val="24"/>
        </w:rPr>
        <w:t xml:space="preserve"> na rynku krajowym pozostał PLL </w:t>
      </w:r>
      <w:r w:rsidRPr="007D383E">
        <w:rPr>
          <w:rFonts w:cstheme="minorHAnsi"/>
          <w:szCs w:val="24"/>
        </w:rPr>
        <w:t xml:space="preserve">LOT, który przewiózł </w:t>
      </w:r>
      <w:r w:rsidR="001D7715">
        <w:rPr>
          <w:rFonts w:cstheme="minorHAnsi"/>
          <w:szCs w:val="24"/>
        </w:rPr>
        <w:t>o 12</w:t>
      </w:r>
      <w:r w:rsidRPr="007D383E">
        <w:rPr>
          <w:rFonts w:cstheme="minorHAnsi"/>
          <w:szCs w:val="24"/>
        </w:rPr>
        <w:t xml:space="preserve"> tys. </w:t>
      </w:r>
      <w:r w:rsidR="001D7715">
        <w:rPr>
          <w:rFonts w:cstheme="minorHAnsi"/>
          <w:szCs w:val="24"/>
        </w:rPr>
        <w:t xml:space="preserve">pasażerów więcej niż </w:t>
      </w:r>
      <w:r w:rsidRPr="007D383E">
        <w:rPr>
          <w:rFonts w:cstheme="minorHAnsi"/>
          <w:szCs w:val="24"/>
        </w:rPr>
        <w:t xml:space="preserve">w </w:t>
      </w:r>
      <w:r w:rsidR="001D7715"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kwartale 202</w:t>
      </w:r>
      <w:r w:rsidR="001D7715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roku. Drugi </w:t>
      </w:r>
      <w:r w:rsidR="00023A5E">
        <w:rPr>
          <w:rFonts w:cstheme="minorHAnsi"/>
          <w:szCs w:val="24"/>
        </w:rPr>
        <w:t>wynik jeśli chodzi o</w:t>
      </w:r>
      <w:r w:rsidRPr="007D383E">
        <w:rPr>
          <w:rFonts w:cstheme="minorHAnsi"/>
          <w:szCs w:val="24"/>
        </w:rPr>
        <w:t xml:space="preserve"> liczb</w:t>
      </w:r>
      <w:r w:rsidR="00023A5E">
        <w:rPr>
          <w:rFonts w:cstheme="minorHAnsi"/>
          <w:szCs w:val="24"/>
        </w:rPr>
        <w:t>ę</w:t>
      </w:r>
      <w:r w:rsidRPr="007D383E">
        <w:rPr>
          <w:rFonts w:cstheme="minorHAnsi"/>
          <w:szCs w:val="24"/>
        </w:rPr>
        <w:t xml:space="preserve"> przewiezionych pasażerów </w:t>
      </w:r>
      <w:r w:rsidR="00023A5E">
        <w:rPr>
          <w:rFonts w:cstheme="minorHAnsi"/>
          <w:szCs w:val="24"/>
        </w:rPr>
        <w:t>miał</w:t>
      </w:r>
      <w:r w:rsidR="00023A5E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Ryanair, który odnotował </w:t>
      </w:r>
      <w:r w:rsidR="001345CB">
        <w:rPr>
          <w:rFonts w:cstheme="minorHAnsi"/>
          <w:szCs w:val="24"/>
        </w:rPr>
        <w:t>znaczny</w:t>
      </w:r>
      <w:r w:rsidR="001345C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spadek </w:t>
      </w:r>
      <w:r w:rsidR="001345CB">
        <w:rPr>
          <w:rFonts w:cstheme="minorHAnsi"/>
          <w:szCs w:val="24"/>
        </w:rPr>
        <w:t>w liczbie przewiezionych pasażerów</w:t>
      </w:r>
      <w:r w:rsidR="001345C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ze względu na redukcję siatki połączeń na niektórych </w:t>
      </w:r>
      <w:r w:rsidR="001D7715">
        <w:rPr>
          <w:rFonts w:cstheme="minorHAnsi"/>
          <w:szCs w:val="24"/>
        </w:rPr>
        <w:t xml:space="preserve">trasach </w:t>
      </w:r>
      <w:r w:rsidRPr="007D383E">
        <w:rPr>
          <w:rFonts w:cstheme="minorHAnsi"/>
          <w:szCs w:val="24"/>
        </w:rPr>
        <w:t>krajowych (-</w:t>
      </w:r>
      <w:r w:rsidR="001D7715">
        <w:rPr>
          <w:rFonts w:cstheme="minorHAnsi"/>
          <w:szCs w:val="24"/>
        </w:rPr>
        <w:t>10,6</w:t>
      </w:r>
      <w:r w:rsidR="00A332A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tys.</w:t>
      </w:r>
      <w:r w:rsidR="001D7715">
        <w:rPr>
          <w:rFonts w:cstheme="minorHAnsi"/>
          <w:szCs w:val="24"/>
        </w:rPr>
        <w:t xml:space="preserve"> pasażerów</w:t>
      </w:r>
      <w:r w:rsidRPr="007D383E">
        <w:rPr>
          <w:rFonts w:cstheme="minorHAnsi"/>
          <w:szCs w:val="24"/>
        </w:rPr>
        <w:t>).</w:t>
      </w:r>
    </w:p>
    <w:p w14:paraId="05EDCE73" w14:textId="77777777" w:rsidR="00CE2032" w:rsidRPr="007D383E" w:rsidRDefault="00CE2032" w:rsidP="00CE2032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0AA3E8B" wp14:editId="6B249898">
            <wp:extent cx="3600000" cy="1922400"/>
            <wp:effectExtent l="0" t="0" r="635" b="1905"/>
            <wp:docPr id="61" name="Wykres 61" descr="Wykres porównuje dynamikę przewozów krajowych zrealizowanych w Polsce i portach zrzeszonych w ACI w minionych kwartałach roku bieżącego i poprzedniego. Dane przedstawione w Tabeli 9.1 poniżej." title="Wykres 9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F15BA04" w14:textId="79F3804E" w:rsidR="00CE2032" w:rsidRPr="007D383E" w:rsidRDefault="00CE2032" w:rsidP="00CE2032">
      <w:pPr>
        <w:pStyle w:val="Legenda"/>
        <w:rPr>
          <w:rFonts w:cstheme="minorHAnsi"/>
          <w:szCs w:val="24"/>
        </w:rPr>
      </w:pPr>
      <w:bookmarkStart w:id="42" w:name="_Toc20053493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Przewozy krajowe – wykres porównuje dynamikę przewozów krajowych zrealizowanych w Polsce i portach zrzeszonych w ACI w</w:t>
      </w:r>
      <w:r w:rsidR="00E812E4" w:rsidRPr="007D383E">
        <w:rPr>
          <w:noProof/>
        </w:rPr>
        <w:t xml:space="preserve"> </w:t>
      </w:r>
      <w:r w:rsidR="00A44535">
        <w:rPr>
          <w:noProof/>
        </w:rPr>
        <w:t xml:space="preserve">pierwszym kwartale </w:t>
      </w:r>
      <w:r w:rsidR="00A2095D" w:rsidRPr="007D383E">
        <w:rPr>
          <w:noProof/>
        </w:rPr>
        <w:t>202</w:t>
      </w:r>
      <w:r w:rsidR="00A44535">
        <w:rPr>
          <w:noProof/>
        </w:rPr>
        <w:t>5</w:t>
      </w:r>
      <w:r w:rsidR="00A2095D" w:rsidRPr="007D383E">
        <w:rPr>
          <w:noProof/>
        </w:rPr>
        <w:t xml:space="preserve"> i 202</w:t>
      </w:r>
      <w:r w:rsidR="00A44535">
        <w:rPr>
          <w:noProof/>
        </w:rPr>
        <w:t>4</w:t>
      </w:r>
      <w:r w:rsidRPr="007D383E">
        <w:rPr>
          <w:noProof/>
        </w:rPr>
        <w:t xml:space="preserve"> roku.</w:t>
      </w:r>
      <w:bookmarkEnd w:id="42"/>
    </w:p>
    <w:tbl>
      <w:tblPr>
        <w:tblW w:w="34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9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3B103F" w:rsidRPr="007D383E" w14:paraId="5590DF74" w14:textId="77777777" w:rsidTr="002D3C69">
        <w:trPr>
          <w:trHeight w:val="340"/>
          <w:tblHeader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DF3AF" w14:textId="77777777" w:rsidR="003B103F" w:rsidRPr="007D383E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Krajowe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A5E50" w14:textId="77777777" w:rsidR="003B103F" w:rsidRPr="007D383E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A44535" w:rsidRPr="007D383E" w14:paraId="7DD4846C" w14:textId="77777777" w:rsidTr="00E56D15">
        <w:trPr>
          <w:trHeight w:val="340"/>
          <w:jc w:val="center"/>
        </w:trPr>
        <w:tc>
          <w:tcPr>
            <w:tcW w:w="2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94E6B" w14:textId="77777777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21A36" w14:textId="766A4879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0,13%</w:t>
            </w:r>
          </w:p>
        </w:tc>
      </w:tr>
      <w:tr w:rsidR="00A44535" w:rsidRPr="007D383E" w14:paraId="47E8B7DD" w14:textId="77777777" w:rsidTr="00E56D15">
        <w:trPr>
          <w:trHeight w:val="340"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1859" w14:textId="77777777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7E492" w14:textId="3906A6E3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0,00%</w:t>
            </w:r>
          </w:p>
        </w:tc>
      </w:tr>
    </w:tbl>
    <w:p w14:paraId="45E278D2" w14:textId="248ACE45" w:rsidR="002D3C69" w:rsidRPr="007D383E" w:rsidRDefault="002D3C69" w:rsidP="00681794">
      <w:pPr>
        <w:pStyle w:val="Legenda"/>
      </w:pPr>
      <w:bookmarkStart w:id="43" w:name="_Toc20053853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Przewozy krajowe</w:t>
      </w:r>
      <w:bookmarkEnd w:id="43"/>
    </w:p>
    <w:p w14:paraId="61F49EC1" w14:textId="449CCD08" w:rsidR="00EF21A5" w:rsidRPr="007D383E" w:rsidRDefault="00574DE0" w:rsidP="005A6434">
      <w:pPr>
        <w:pStyle w:val="Nagwek1"/>
      </w:pPr>
      <w:bookmarkStart w:id="44" w:name="_Toc200533901"/>
      <w:r w:rsidRPr="007D383E">
        <w:lastRenderedPageBreak/>
        <w:t>Przewozy regularne</w:t>
      </w:r>
      <w:bookmarkEnd w:id="44"/>
    </w:p>
    <w:p w14:paraId="0851520A" w14:textId="68012754" w:rsidR="005835CF" w:rsidRPr="007D383E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</w:t>
      </w:r>
      <w:r w:rsidR="00E56D15">
        <w:rPr>
          <w:rFonts w:cstheme="minorHAnsi"/>
          <w:szCs w:val="24"/>
        </w:rPr>
        <w:t xml:space="preserve"> pierwszym kwartale</w:t>
      </w:r>
      <w:r w:rsidRPr="007D383E">
        <w:rPr>
          <w:rFonts w:cstheme="minorHAnsi"/>
          <w:szCs w:val="24"/>
        </w:rPr>
        <w:t xml:space="preserve"> 202</w:t>
      </w:r>
      <w:r w:rsidR="00E56D15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roku polski rynek prze</w:t>
      </w:r>
      <w:r>
        <w:rPr>
          <w:rFonts w:cstheme="minorHAnsi"/>
          <w:szCs w:val="24"/>
        </w:rPr>
        <w:t xml:space="preserve">wozów regularnych obsłużył o </w:t>
      </w:r>
      <w:r w:rsidR="00E56D15">
        <w:rPr>
          <w:rFonts w:cstheme="minorHAnsi"/>
          <w:szCs w:val="24"/>
        </w:rPr>
        <w:t>1</w:t>
      </w:r>
      <w:r w:rsidRPr="007D383E">
        <w:rPr>
          <w:rFonts w:cstheme="minorHAnsi"/>
          <w:szCs w:val="24"/>
        </w:rPr>
        <w:t xml:space="preserve"> mln pasażerów więcej niż w</w:t>
      </w:r>
      <w:r w:rsidR="00CC5226">
        <w:rPr>
          <w:rFonts w:cstheme="minorHAnsi"/>
          <w:szCs w:val="24"/>
        </w:rPr>
        <w:t> </w:t>
      </w:r>
      <w:r w:rsidR="00E56D15">
        <w:rPr>
          <w:rFonts w:cstheme="minorHAnsi"/>
          <w:szCs w:val="24"/>
        </w:rPr>
        <w:t xml:space="preserve">analogicznym okresie </w:t>
      </w:r>
      <w:r w:rsidRPr="007D383E">
        <w:rPr>
          <w:rFonts w:cstheme="minorHAnsi"/>
          <w:szCs w:val="24"/>
        </w:rPr>
        <w:t>202</w:t>
      </w:r>
      <w:r w:rsidR="00E56D15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 (+10</w:t>
      </w:r>
      <w:r>
        <w:rPr>
          <w:rFonts w:cstheme="minorHAnsi"/>
          <w:szCs w:val="24"/>
        </w:rPr>
        <w:t>,</w:t>
      </w:r>
      <w:r w:rsidR="00E56D15">
        <w:rPr>
          <w:rFonts w:cstheme="minorHAnsi"/>
          <w:szCs w:val="24"/>
        </w:rPr>
        <w:t>2</w:t>
      </w:r>
      <w:r>
        <w:rPr>
          <w:rFonts w:cstheme="minorHAnsi"/>
          <w:szCs w:val="24"/>
        </w:rPr>
        <w:t xml:space="preserve">%) i o </w:t>
      </w:r>
      <w:r w:rsidR="00E56D15">
        <w:rPr>
          <w:rFonts w:cstheme="minorHAnsi"/>
          <w:szCs w:val="24"/>
        </w:rPr>
        <w:t>2,2</w:t>
      </w:r>
      <w:r>
        <w:rPr>
          <w:rFonts w:cstheme="minorHAnsi"/>
          <w:szCs w:val="24"/>
        </w:rPr>
        <w:t xml:space="preserve"> mln pasażerów więcej (+</w:t>
      </w:r>
      <w:r w:rsidR="00E56D15">
        <w:rPr>
          <w:rFonts w:cstheme="minorHAnsi"/>
          <w:szCs w:val="24"/>
        </w:rPr>
        <w:t>25,1</w:t>
      </w:r>
      <w:r w:rsidRPr="007D383E">
        <w:rPr>
          <w:rFonts w:cstheme="minorHAnsi"/>
          <w:szCs w:val="24"/>
        </w:rPr>
        <w:t xml:space="preserve">%) niż w </w:t>
      </w:r>
      <w:r w:rsidR="00E56D15">
        <w:rPr>
          <w:rFonts w:cstheme="minorHAnsi"/>
          <w:szCs w:val="24"/>
        </w:rPr>
        <w:t>2023</w:t>
      </w:r>
      <w:r w:rsidRPr="007D383E">
        <w:rPr>
          <w:rFonts w:cstheme="minorHAnsi"/>
          <w:szCs w:val="24"/>
        </w:rPr>
        <w:t xml:space="preserve"> roku. </w:t>
      </w:r>
    </w:p>
    <w:p w14:paraId="32C4FDEF" w14:textId="6336699E" w:rsidR="005835CF" w:rsidRPr="007D383E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Najbardziej</w:t>
      </w:r>
      <w:r>
        <w:rPr>
          <w:rFonts w:cstheme="minorHAnsi"/>
          <w:szCs w:val="24"/>
        </w:rPr>
        <w:t xml:space="preserve"> popularnym kierunkiem w </w:t>
      </w:r>
      <w:r w:rsidR="00E56D15"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kwartale </w:t>
      </w:r>
      <w:r w:rsidR="00E56D15">
        <w:rPr>
          <w:rFonts w:cstheme="minorHAnsi"/>
          <w:szCs w:val="24"/>
        </w:rPr>
        <w:t>była</w:t>
      </w:r>
      <w:r w:rsidRPr="007D383E">
        <w:rPr>
          <w:rFonts w:cstheme="minorHAnsi"/>
          <w:szCs w:val="24"/>
        </w:rPr>
        <w:t xml:space="preserve"> Wielka Brytania, natomiast największe wzrosty wz</w:t>
      </w:r>
      <w:r w:rsidR="00E56D15">
        <w:rPr>
          <w:rFonts w:cstheme="minorHAnsi"/>
          <w:szCs w:val="24"/>
        </w:rPr>
        <w:t>ględem analogicznego okresu 2024</w:t>
      </w:r>
      <w:r w:rsidRPr="007D383E">
        <w:rPr>
          <w:rFonts w:cstheme="minorHAnsi"/>
          <w:szCs w:val="24"/>
        </w:rPr>
        <w:t xml:space="preserve"> roku uzyskały trasy do/z Włoch (+</w:t>
      </w:r>
      <w:r w:rsidR="00E56D15">
        <w:rPr>
          <w:rFonts w:cstheme="minorHAnsi"/>
          <w:szCs w:val="24"/>
        </w:rPr>
        <w:t>265,5</w:t>
      </w:r>
      <w:r w:rsidRPr="007D383E">
        <w:rPr>
          <w:rFonts w:cstheme="minorHAnsi"/>
          <w:szCs w:val="24"/>
        </w:rPr>
        <w:t xml:space="preserve"> tys.), </w:t>
      </w:r>
      <w:r w:rsidR="00E56D15">
        <w:rPr>
          <w:rFonts w:cstheme="minorHAnsi"/>
          <w:szCs w:val="24"/>
        </w:rPr>
        <w:t xml:space="preserve">Wielkiej Brytanii </w:t>
      </w:r>
      <w:r w:rsidRPr="007D383E">
        <w:rPr>
          <w:rFonts w:cstheme="minorHAnsi"/>
          <w:szCs w:val="24"/>
        </w:rPr>
        <w:t>(+</w:t>
      </w:r>
      <w:r w:rsidR="00E56D15">
        <w:rPr>
          <w:rFonts w:cstheme="minorHAnsi"/>
          <w:szCs w:val="24"/>
        </w:rPr>
        <w:t>131,8</w:t>
      </w:r>
      <w:r w:rsidRPr="007D383E">
        <w:rPr>
          <w:rFonts w:cstheme="minorHAnsi"/>
          <w:szCs w:val="24"/>
        </w:rPr>
        <w:t xml:space="preserve"> </w:t>
      </w:r>
      <w:r w:rsidR="00E56D15">
        <w:rPr>
          <w:rFonts w:cstheme="minorHAnsi"/>
          <w:szCs w:val="24"/>
        </w:rPr>
        <w:t>tys.) i</w:t>
      </w:r>
      <w:r>
        <w:rPr>
          <w:rFonts w:cstheme="minorHAnsi"/>
          <w:szCs w:val="24"/>
        </w:rPr>
        <w:t xml:space="preserve"> </w:t>
      </w:r>
      <w:r w:rsidR="00E56D15" w:rsidRPr="007D383E">
        <w:rPr>
          <w:rFonts w:cstheme="minorHAnsi"/>
          <w:szCs w:val="24"/>
        </w:rPr>
        <w:t xml:space="preserve">Hiszpanii </w:t>
      </w:r>
      <w:r>
        <w:rPr>
          <w:rFonts w:cstheme="minorHAnsi"/>
          <w:szCs w:val="24"/>
        </w:rPr>
        <w:t>(+</w:t>
      </w:r>
      <w:r w:rsidR="00E56D15">
        <w:rPr>
          <w:rFonts w:cstheme="minorHAnsi"/>
          <w:szCs w:val="24"/>
        </w:rPr>
        <w:t>92,6 tys.).</w:t>
      </w:r>
      <w:r w:rsidR="008E4FD5">
        <w:rPr>
          <w:rFonts w:cstheme="minorHAnsi"/>
          <w:szCs w:val="24"/>
        </w:rPr>
        <w:t xml:space="preserve"> Największe spadki wystąpiły natomiast w przypadku tras do/z Norwegii, Albanii oraz Niemiec.</w:t>
      </w:r>
    </w:p>
    <w:p w14:paraId="4A4E8B6C" w14:textId="04C6C328" w:rsidR="005835CF" w:rsidRPr="007D383E" w:rsidRDefault="00857446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pasażerów </w:t>
      </w:r>
      <w:r>
        <w:rPr>
          <w:rFonts w:cstheme="minorHAnsi"/>
          <w:szCs w:val="24"/>
        </w:rPr>
        <w:t xml:space="preserve">w ruchu regularnym </w:t>
      </w:r>
      <w:r w:rsidRPr="007D383E">
        <w:rPr>
          <w:rFonts w:cstheme="minorHAnsi"/>
          <w:szCs w:val="24"/>
        </w:rPr>
        <w:t xml:space="preserve">w </w:t>
      </w:r>
      <w:r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obsłużyły Lotnisko Chopina w Warszawie (</w:t>
      </w:r>
      <w:r>
        <w:rPr>
          <w:rFonts w:cstheme="minorHAnsi"/>
          <w:szCs w:val="24"/>
        </w:rPr>
        <w:t xml:space="preserve">4,4 mln) oraz </w:t>
      </w:r>
      <w:r w:rsidRPr="007D383E">
        <w:rPr>
          <w:rFonts w:cstheme="minorHAnsi"/>
          <w:szCs w:val="24"/>
        </w:rPr>
        <w:t xml:space="preserve">porty lotnicze </w:t>
      </w:r>
      <w:r>
        <w:rPr>
          <w:rFonts w:cstheme="minorHAnsi"/>
          <w:szCs w:val="24"/>
        </w:rPr>
        <w:t>Kraków-Balice</w:t>
      </w:r>
      <w:r w:rsidRPr="007D383E">
        <w:rPr>
          <w:rFonts w:cstheme="minorHAnsi"/>
          <w:szCs w:val="24"/>
        </w:rPr>
        <w:t xml:space="preserve"> (</w:t>
      </w:r>
      <w:r>
        <w:rPr>
          <w:rFonts w:cstheme="minorHAnsi"/>
          <w:szCs w:val="24"/>
        </w:rPr>
        <w:t>2,6 mln</w:t>
      </w:r>
      <w:r w:rsidRPr="007D383E">
        <w:rPr>
          <w:rFonts w:cstheme="minorHAnsi"/>
          <w:szCs w:val="24"/>
        </w:rPr>
        <w:t xml:space="preserve">) </w:t>
      </w:r>
      <w:r>
        <w:rPr>
          <w:rFonts w:cstheme="minorHAnsi"/>
          <w:szCs w:val="24"/>
        </w:rPr>
        <w:t>oraz Gdańsk</w:t>
      </w:r>
      <w:r w:rsidRPr="007D383E">
        <w:rPr>
          <w:rFonts w:cstheme="minorHAnsi"/>
          <w:szCs w:val="24"/>
        </w:rPr>
        <w:t xml:space="preserve"> im</w:t>
      </w:r>
      <w:r>
        <w:rPr>
          <w:rFonts w:cstheme="minorHAnsi"/>
          <w:szCs w:val="24"/>
        </w:rPr>
        <w:t>.</w:t>
      </w:r>
      <w:r w:rsidRPr="007D383E">
        <w:rPr>
          <w:rFonts w:cstheme="minorHAnsi"/>
          <w:szCs w:val="24"/>
        </w:rPr>
        <w:t xml:space="preserve"> L.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Wałęsy (</w:t>
      </w:r>
      <w:r>
        <w:rPr>
          <w:rFonts w:cstheme="minorHAnsi"/>
          <w:szCs w:val="24"/>
        </w:rPr>
        <w:t>1,3 mln</w:t>
      </w:r>
      <w:r w:rsidRPr="007D383E">
        <w:rPr>
          <w:rFonts w:cstheme="minorHAnsi"/>
          <w:szCs w:val="24"/>
        </w:rPr>
        <w:t xml:space="preserve">). </w:t>
      </w:r>
      <w:r>
        <w:rPr>
          <w:rFonts w:cstheme="minorHAnsi"/>
          <w:szCs w:val="24"/>
        </w:rPr>
        <w:t>N</w:t>
      </w:r>
      <w:r w:rsidR="005835CF" w:rsidRPr="007D383E">
        <w:rPr>
          <w:rFonts w:cstheme="minorHAnsi"/>
          <w:szCs w:val="24"/>
        </w:rPr>
        <w:t xml:space="preserve">ajwiększe wzrosty ilościowe </w:t>
      </w:r>
      <w:r>
        <w:rPr>
          <w:rFonts w:cstheme="minorHAnsi"/>
          <w:szCs w:val="24"/>
        </w:rPr>
        <w:t>również odnotowały</w:t>
      </w:r>
      <w:r w:rsidR="005835CF" w:rsidRPr="007D383E">
        <w:rPr>
          <w:rFonts w:cstheme="minorHAnsi"/>
          <w:szCs w:val="24"/>
        </w:rPr>
        <w:t xml:space="preserve"> Lotnisko Chopina (+</w:t>
      </w:r>
      <w:r w:rsidR="00E56D15">
        <w:rPr>
          <w:rFonts w:cstheme="minorHAnsi"/>
          <w:szCs w:val="24"/>
        </w:rPr>
        <w:t>469,3</w:t>
      </w:r>
      <w:r w:rsidR="005835CF">
        <w:rPr>
          <w:rFonts w:cstheme="minorHAnsi"/>
          <w:szCs w:val="24"/>
        </w:rPr>
        <w:t xml:space="preserve"> tys.), Kraków-Balice (+</w:t>
      </w:r>
      <w:r w:rsidR="00E56D15">
        <w:rPr>
          <w:rFonts w:cstheme="minorHAnsi"/>
          <w:szCs w:val="24"/>
        </w:rPr>
        <w:t>467,5</w:t>
      </w:r>
      <w:r w:rsidR="005835CF" w:rsidRPr="007D383E">
        <w:rPr>
          <w:rFonts w:cstheme="minorHAnsi"/>
          <w:szCs w:val="24"/>
        </w:rPr>
        <w:t xml:space="preserve"> tys.) oraz Gdańsk im</w:t>
      </w:r>
      <w:r w:rsidR="00CC5226">
        <w:rPr>
          <w:rFonts w:cstheme="minorHAnsi"/>
          <w:szCs w:val="24"/>
        </w:rPr>
        <w:t>.</w:t>
      </w:r>
      <w:r w:rsidR="005835CF" w:rsidRPr="007D383E">
        <w:rPr>
          <w:rFonts w:cstheme="minorHAnsi"/>
          <w:szCs w:val="24"/>
        </w:rPr>
        <w:t xml:space="preserve"> L.</w:t>
      </w:r>
      <w:r w:rsidR="00CC5226">
        <w:rPr>
          <w:rFonts w:cstheme="minorHAnsi"/>
          <w:szCs w:val="24"/>
        </w:rPr>
        <w:t> </w:t>
      </w:r>
      <w:r w:rsidR="005835CF" w:rsidRPr="007D383E">
        <w:rPr>
          <w:rFonts w:cstheme="minorHAnsi"/>
          <w:szCs w:val="24"/>
        </w:rPr>
        <w:t xml:space="preserve">Wałęsy </w:t>
      </w:r>
      <w:r w:rsidR="005835CF">
        <w:rPr>
          <w:rFonts w:cstheme="minorHAnsi"/>
          <w:szCs w:val="24"/>
        </w:rPr>
        <w:t>(+</w:t>
      </w:r>
      <w:r w:rsidR="00E56D15">
        <w:rPr>
          <w:rFonts w:cstheme="minorHAnsi"/>
          <w:szCs w:val="24"/>
        </w:rPr>
        <w:t>135,2 tys.).</w:t>
      </w:r>
      <w:r w:rsidR="008E4FD5">
        <w:rPr>
          <w:rFonts w:cstheme="minorHAnsi"/>
          <w:szCs w:val="24"/>
        </w:rPr>
        <w:t xml:space="preserve"> Spadki w ruchu regularnym wystąpiły w przypadku portów lotniczych Warszawa/Modlin, Olsztyn-Mazury, Bydgoszcz, Warszawa-Radom oraz w niewielkim stopniu Zielona Góra-Babimost i Łódź.</w:t>
      </w:r>
    </w:p>
    <w:p w14:paraId="4FDAFAD9" w14:textId="515BE341" w:rsidR="003B103F" w:rsidRDefault="005835CF" w:rsidP="005835CF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Przewoźnicy niskokosztowi w </w:t>
      </w:r>
      <w:r w:rsidR="00E56D15"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posiadali </w:t>
      </w:r>
      <w:r w:rsidR="009C1D98">
        <w:rPr>
          <w:rFonts w:cstheme="minorHAnsi"/>
          <w:szCs w:val="24"/>
        </w:rPr>
        <w:t>65,8</w:t>
      </w:r>
      <w:r w:rsidRPr="007D383E">
        <w:rPr>
          <w:rFonts w:cstheme="minorHAnsi"/>
          <w:szCs w:val="24"/>
        </w:rPr>
        <w:t>% udziałów w regularnych przewozach</w:t>
      </w:r>
      <w:r>
        <w:rPr>
          <w:rFonts w:cstheme="minorHAnsi"/>
          <w:szCs w:val="24"/>
        </w:rPr>
        <w:t xml:space="preserve"> międzynarodowych, a sieciowi 32,2% (2</w:t>
      </w:r>
      <w:r w:rsidRPr="007D383E">
        <w:rPr>
          <w:rFonts w:cstheme="minorHAnsi"/>
          <w:szCs w:val="24"/>
        </w:rPr>
        <w:t>% należy do przewoźników czarterowych).</w:t>
      </w:r>
      <w:r w:rsidR="008E4FD5">
        <w:rPr>
          <w:rFonts w:cstheme="minorHAnsi"/>
          <w:szCs w:val="24"/>
        </w:rPr>
        <w:t xml:space="preserve"> Oznacza to nieznaczny spadek udziałów przewoźników niskokosztowych na rzecz przewoźników sieciowych (o 0,2 </w:t>
      </w:r>
      <w:r w:rsidR="00C24C04">
        <w:rPr>
          <w:rFonts w:cstheme="minorHAnsi"/>
          <w:szCs w:val="24"/>
        </w:rPr>
        <w:t>punktu procentowego</w:t>
      </w:r>
      <w:r w:rsidR="008E4FD5">
        <w:rPr>
          <w:rFonts w:cstheme="minorHAnsi"/>
          <w:szCs w:val="24"/>
        </w:rPr>
        <w:t>) w porównaniu do pierwszego kwartału 2024 roku.</w:t>
      </w:r>
    </w:p>
    <w:p w14:paraId="1ED6410C" w14:textId="77777777" w:rsidR="00037463" w:rsidRPr="007D383E" w:rsidRDefault="00037463" w:rsidP="0003746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23825BAB" wp14:editId="75FEDF33">
            <wp:extent cx="4680000" cy="2340000"/>
            <wp:effectExtent l="0" t="0" r="6350" b="3175"/>
            <wp:docPr id="64" name="Wykres 64" descr="Wykres przedstawia liczbę przewiezionych pasażerów w ruchu regularnym w danym kwartale z uwzględnieniem tego samego okresu poprzednich 2 lat. Dane przedstawione w Tabeli 10.1 poniżej." title="Wykres 10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C8A1BDD" w14:textId="523269AF" w:rsidR="00037463" w:rsidRPr="007D383E" w:rsidRDefault="00037463" w:rsidP="0089169E">
      <w:pPr>
        <w:pStyle w:val="Legenda"/>
        <w:spacing w:after="720"/>
        <w:rPr>
          <w:rFonts w:cstheme="minorHAnsi"/>
          <w:szCs w:val="24"/>
        </w:rPr>
      </w:pPr>
      <w:bookmarkStart w:id="45" w:name="_Toc20053493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regularnych (mln) – kwartał – wykres przedstawia liczbę przewiezionych pasażerów w ruchu regularnym </w:t>
      </w:r>
      <w:r w:rsidR="00A2095D" w:rsidRPr="007D383E">
        <w:rPr>
          <w:noProof/>
        </w:rPr>
        <w:t xml:space="preserve">w </w:t>
      </w:r>
      <w:r w:rsidR="00A44535">
        <w:rPr>
          <w:noProof/>
        </w:rPr>
        <w:t>pierwszym</w:t>
      </w:r>
      <w:r w:rsidR="00A2095D" w:rsidRPr="007D383E">
        <w:rPr>
          <w:noProof/>
        </w:rPr>
        <w:t xml:space="preserve"> kwartale 202</w:t>
      </w:r>
      <w:r w:rsidR="00A44535">
        <w:rPr>
          <w:noProof/>
        </w:rPr>
        <w:t>5</w:t>
      </w:r>
      <w:r w:rsidR="00A2095D" w:rsidRPr="007D383E">
        <w:rPr>
          <w:noProof/>
        </w:rPr>
        <w:t xml:space="preserve"> roku </w:t>
      </w:r>
      <w:r w:rsidRPr="007D383E">
        <w:rPr>
          <w:noProof/>
        </w:rPr>
        <w:t xml:space="preserve">z uwzględnieniem tego samego okresu lat </w:t>
      </w:r>
      <w:r w:rsidR="00A2095D" w:rsidRPr="007D383E">
        <w:rPr>
          <w:noProof/>
        </w:rPr>
        <w:t>202</w:t>
      </w:r>
      <w:r w:rsidR="00A44535">
        <w:rPr>
          <w:noProof/>
        </w:rPr>
        <w:t>4 i 2023</w:t>
      </w:r>
      <w:r w:rsidRPr="007D383E">
        <w:rPr>
          <w:noProof/>
        </w:rPr>
        <w:t>.</w:t>
      </w:r>
      <w:bookmarkEnd w:id="45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0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3B103F" w:rsidRPr="007D383E" w14:paraId="6CE8E924" w14:textId="77777777" w:rsidTr="0015036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BB118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CE51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A44535" w:rsidRPr="007D383E" w14:paraId="6FE3B6E0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5039D" w14:textId="3D440DB9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8697C" w14:textId="24392489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11 147 743</w:t>
            </w:r>
          </w:p>
        </w:tc>
      </w:tr>
      <w:tr w:rsidR="00A44535" w:rsidRPr="007D383E" w14:paraId="3A077961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BA0E5" w14:textId="0576B282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82BDD" w14:textId="655867A5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10 119 023</w:t>
            </w:r>
          </w:p>
        </w:tc>
      </w:tr>
      <w:tr w:rsidR="00A44535" w:rsidRPr="007D383E" w14:paraId="586BCEBA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84BA4" w14:textId="65F11B10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A9E67" w14:textId="3FFF37D0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8 909 721</w:t>
            </w:r>
          </w:p>
        </w:tc>
      </w:tr>
    </w:tbl>
    <w:p w14:paraId="3AE69255" w14:textId="227F9B9D" w:rsidR="00150362" w:rsidRPr="007D383E" w:rsidRDefault="00150362">
      <w:pPr>
        <w:pStyle w:val="Legenda"/>
        <w:rPr>
          <w:noProof/>
        </w:rPr>
      </w:pPr>
      <w:bookmarkStart w:id="46" w:name="_Toc20053853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regularnych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46"/>
    </w:p>
    <w:p w14:paraId="3A889BC6" w14:textId="77777777" w:rsidR="00037463" w:rsidRPr="007D383E" w:rsidRDefault="00037463" w:rsidP="0003746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2DE162A0" wp14:editId="4DC59B97">
            <wp:extent cx="3600000" cy="1922400"/>
            <wp:effectExtent l="0" t="0" r="635" b="1905"/>
            <wp:docPr id="65" name="Wykres 65" descr="Wykres przedstawia zmiany zachodzące w danym kwartale w ruchu regularnym w porównaniu do analogicznego okresu roku poprzedniego, a także sprzed 2 lat. Dane przedstawione w Tabeli 10.2 poniżej." title="Wykres 10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CCCD0E" w14:textId="2F96A40C" w:rsidR="00037463" w:rsidRPr="007D383E" w:rsidRDefault="00037463" w:rsidP="00037463">
      <w:pPr>
        <w:pStyle w:val="Legenda"/>
      </w:pPr>
      <w:bookmarkStart w:id="47" w:name="_Toc20053493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regularnego – kwartał – wykres </w:t>
      </w:r>
      <w:r w:rsidR="006A2BE0" w:rsidRPr="007D383E">
        <w:rPr>
          <w:noProof/>
        </w:rPr>
        <w:t xml:space="preserve">przedstawia zmiany zachodzące </w:t>
      </w:r>
      <w:r w:rsidR="00EA13B7" w:rsidRPr="007D383E">
        <w:rPr>
          <w:noProof/>
        </w:rPr>
        <w:t>w </w:t>
      </w:r>
      <w:r w:rsidR="00A44535">
        <w:rPr>
          <w:noProof/>
        </w:rPr>
        <w:t>pierwszym kwartale 2025</w:t>
      </w:r>
      <w:r w:rsidR="00A2095D" w:rsidRPr="007D383E">
        <w:rPr>
          <w:noProof/>
        </w:rPr>
        <w:t xml:space="preserve"> roku </w:t>
      </w:r>
      <w:r w:rsidRPr="007D383E">
        <w:rPr>
          <w:noProof/>
        </w:rPr>
        <w:t xml:space="preserve">w ruchu regularnym w porównaniu do </w:t>
      </w:r>
      <w:r w:rsidR="00220CAE" w:rsidRPr="007D383E">
        <w:rPr>
          <w:noProof/>
        </w:rPr>
        <w:t xml:space="preserve">analogicznego okresu lat </w:t>
      </w:r>
      <w:r w:rsidR="00A2095D" w:rsidRPr="007D383E">
        <w:rPr>
          <w:noProof/>
        </w:rPr>
        <w:t>202</w:t>
      </w:r>
      <w:r w:rsidR="00A44535">
        <w:rPr>
          <w:noProof/>
        </w:rPr>
        <w:t>4</w:t>
      </w:r>
      <w:r w:rsidR="00EA13B7" w:rsidRPr="007D383E">
        <w:rPr>
          <w:noProof/>
        </w:rPr>
        <w:t xml:space="preserve"> i </w:t>
      </w:r>
      <w:r w:rsidR="00E812E4" w:rsidRPr="007D383E">
        <w:rPr>
          <w:noProof/>
        </w:rPr>
        <w:t>202</w:t>
      </w:r>
      <w:r w:rsidR="00A44535">
        <w:rPr>
          <w:noProof/>
        </w:rPr>
        <w:t>3</w:t>
      </w:r>
      <w:r w:rsidRPr="007D383E">
        <w:rPr>
          <w:noProof/>
        </w:rPr>
        <w:t>.</w:t>
      </w:r>
      <w:bookmarkEnd w:id="4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0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3B103F" w:rsidRPr="007D383E" w14:paraId="60120690" w14:textId="77777777" w:rsidTr="00150362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488F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71CF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A44535" w:rsidRPr="007D383E" w14:paraId="38F9F977" w14:textId="77777777" w:rsidTr="00E56D15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29F9A" w14:textId="0185DBEC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</w:t>
            </w:r>
            <w:r>
              <w:rPr>
                <w:rFonts w:cstheme="minorHAnsi"/>
                <w:color w:val="283772"/>
                <w:szCs w:val="24"/>
              </w:rPr>
              <w:t>5 vs 2024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18FE4" w14:textId="5E33F4E7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10,2%</w:t>
            </w:r>
          </w:p>
        </w:tc>
      </w:tr>
      <w:tr w:rsidR="00A44535" w:rsidRPr="007D383E" w14:paraId="31A52ECF" w14:textId="77777777" w:rsidTr="00E56D15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429B0" w14:textId="3067A1B7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2023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02E84" w14:textId="66036782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25,1%</w:t>
            </w:r>
          </w:p>
        </w:tc>
      </w:tr>
    </w:tbl>
    <w:p w14:paraId="29017F29" w14:textId="23FB4C47" w:rsidR="00FE34CE" w:rsidRPr="007D383E" w:rsidRDefault="00FE34CE" w:rsidP="007B131B">
      <w:pPr>
        <w:pStyle w:val="Legenda"/>
      </w:pPr>
      <w:bookmarkStart w:id="48" w:name="_Toc20053853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regularnego</w:t>
      </w:r>
      <w:r w:rsidRPr="007D383E">
        <w:rPr>
          <w:noProof/>
        </w:rPr>
        <w:t xml:space="preserve"> – kwartał</w:t>
      </w:r>
      <w:bookmarkEnd w:id="48"/>
    </w:p>
    <w:p w14:paraId="15C43C05" w14:textId="58F3D322" w:rsidR="00EF21A5" w:rsidRPr="007D383E" w:rsidRDefault="00574DE0" w:rsidP="005A6434">
      <w:pPr>
        <w:pStyle w:val="Nagwek1"/>
      </w:pPr>
      <w:bookmarkStart w:id="49" w:name="_Toc200533902"/>
      <w:r w:rsidRPr="007D383E">
        <w:t>Przewozy czarterowe</w:t>
      </w:r>
      <w:bookmarkEnd w:id="49"/>
    </w:p>
    <w:p w14:paraId="6B798A2B" w14:textId="77777777" w:rsidR="00185EA4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 w:rsidR="00185EA4"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w </w:t>
      </w:r>
      <w:r w:rsidR="00776217">
        <w:rPr>
          <w:rFonts w:cstheme="minorHAnsi"/>
          <w:szCs w:val="24"/>
        </w:rPr>
        <w:t xml:space="preserve">międzynarodowym </w:t>
      </w:r>
      <w:r w:rsidRPr="007D383E">
        <w:rPr>
          <w:rFonts w:cstheme="minorHAnsi"/>
          <w:szCs w:val="24"/>
        </w:rPr>
        <w:t>ruchu czarterowym obsłużono</w:t>
      </w:r>
      <w:r w:rsidR="001D34D5">
        <w:rPr>
          <w:rFonts w:cstheme="minorHAnsi"/>
          <w:szCs w:val="24"/>
        </w:rPr>
        <w:t xml:space="preserve"> </w:t>
      </w:r>
      <w:r w:rsidR="00185EA4">
        <w:rPr>
          <w:rFonts w:cstheme="minorHAnsi"/>
          <w:szCs w:val="24"/>
        </w:rPr>
        <w:t>1,1</w:t>
      </w:r>
      <w:r w:rsidR="00235511">
        <w:rPr>
          <w:rFonts w:cstheme="minorHAnsi"/>
          <w:szCs w:val="24"/>
        </w:rPr>
        <w:t xml:space="preserve"> mln pasażerów – o </w:t>
      </w:r>
      <w:r w:rsidR="00185EA4">
        <w:rPr>
          <w:rFonts w:cstheme="minorHAnsi"/>
          <w:szCs w:val="24"/>
        </w:rPr>
        <w:t>269,1</w:t>
      </w:r>
      <w:r w:rsidRPr="007D383E">
        <w:rPr>
          <w:rFonts w:cstheme="minorHAnsi"/>
          <w:szCs w:val="24"/>
        </w:rPr>
        <w:t xml:space="preserve"> tys. więcej niż w </w:t>
      </w:r>
      <w:r w:rsidR="00185EA4"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kwartale 202</w:t>
      </w:r>
      <w:r w:rsidR="00185EA4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 (+</w:t>
      </w:r>
      <w:r w:rsidR="00CB7F4B">
        <w:rPr>
          <w:rFonts w:cstheme="minorHAnsi"/>
          <w:szCs w:val="24"/>
        </w:rPr>
        <w:t>30,8</w:t>
      </w:r>
      <w:r w:rsidR="00E061A9">
        <w:rPr>
          <w:rFonts w:cstheme="minorHAnsi"/>
          <w:szCs w:val="24"/>
        </w:rPr>
        <w:t>%) i o </w:t>
      </w:r>
      <w:r w:rsidR="00185EA4">
        <w:rPr>
          <w:rFonts w:cstheme="minorHAnsi"/>
          <w:szCs w:val="24"/>
        </w:rPr>
        <w:t>639,9</w:t>
      </w:r>
      <w:r w:rsidR="00CB7F4B">
        <w:rPr>
          <w:rFonts w:cstheme="minorHAnsi"/>
          <w:szCs w:val="24"/>
        </w:rPr>
        <w:t xml:space="preserve"> tys.</w:t>
      </w:r>
      <w:r w:rsidRPr="007D383E">
        <w:rPr>
          <w:rFonts w:cstheme="minorHAnsi"/>
          <w:szCs w:val="24"/>
        </w:rPr>
        <w:t xml:space="preserve"> pasażerów więcej (+</w:t>
      </w:r>
      <w:r w:rsidR="00185EA4">
        <w:rPr>
          <w:rFonts w:cstheme="minorHAnsi"/>
          <w:szCs w:val="24"/>
        </w:rPr>
        <w:t>127,5%) niż w tym samym okresie 2023</w:t>
      </w:r>
      <w:r w:rsidRPr="007D383E">
        <w:rPr>
          <w:rFonts w:cstheme="minorHAnsi"/>
          <w:szCs w:val="24"/>
        </w:rPr>
        <w:t xml:space="preserve"> </w:t>
      </w:r>
      <w:r w:rsidR="006770A7" w:rsidRPr="007D383E">
        <w:rPr>
          <w:rFonts w:cstheme="minorHAnsi"/>
          <w:szCs w:val="24"/>
        </w:rPr>
        <w:t xml:space="preserve">r. </w:t>
      </w:r>
    </w:p>
    <w:p w14:paraId="243F4F1B" w14:textId="7690F30C" w:rsidR="00437EE7" w:rsidRPr="007D383E" w:rsidRDefault="006770A7" w:rsidP="00437EE7">
      <w:pPr>
        <w:rPr>
          <w:rFonts w:cstheme="minorHAnsi"/>
          <w:szCs w:val="24"/>
        </w:rPr>
      </w:pPr>
      <w:r>
        <w:rPr>
          <w:rFonts w:cstheme="minorHAnsi"/>
          <w:szCs w:val="24"/>
        </w:rPr>
        <w:t>Najpopularniejszym</w:t>
      </w:r>
      <w:r w:rsidR="00857446">
        <w:rPr>
          <w:rFonts w:cstheme="minorHAnsi"/>
          <w:szCs w:val="24"/>
        </w:rPr>
        <w:t>i</w:t>
      </w:r>
      <w:r w:rsidR="00CC5226">
        <w:rPr>
          <w:rFonts w:cstheme="minorHAnsi"/>
          <w:szCs w:val="24"/>
        </w:rPr>
        <w:t xml:space="preserve"> kierunk</w:t>
      </w:r>
      <w:r w:rsidR="00857446">
        <w:rPr>
          <w:rFonts w:cstheme="minorHAnsi"/>
          <w:szCs w:val="24"/>
        </w:rPr>
        <w:t>ami</w:t>
      </w:r>
      <w:r w:rsidR="00CC522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był</w:t>
      </w:r>
      <w:r w:rsidR="00857446">
        <w:rPr>
          <w:rFonts w:cstheme="minorHAnsi"/>
          <w:szCs w:val="24"/>
        </w:rPr>
        <w:t>y</w:t>
      </w:r>
      <w:r w:rsidRPr="007D383E">
        <w:rPr>
          <w:rFonts w:cstheme="minorHAnsi"/>
          <w:szCs w:val="24"/>
        </w:rPr>
        <w:t xml:space="preserve"> Egipt</w:t>
      </w:r>
      <w:r w:rsidR="002F4E8D">
        <w:rPr>
          <w:rFonts w:cstheme="minorHAnsi"/>
          <w:szCs w:val="24"/>
        </w:rPr>
        <w:t>, Hiszpani</w:t>
      </w:r>
      <w:r w:rsidR="00CC5226">
        <w:rPr>
          <w:rFonts w:cstheme="minorHAnsi"/>
          <w:szCs w:val="24"/>
        </w:rPr>
        <w:t>a</w:t>
      </w:r>
      <w:r w:rsidR="00857446">
        <w:rPr>
          <w:rFonts w:cstheme="minorHAnsi"/>
          <w:szCs w:val="24"/>
        </w:rPr>
        <w:t xml:space="preserve"> i Dominikana</w:t>
      </w:r>
      <w:r w:rsidR="00437EE7" w:rsidRPr="007D383E">
        <w:rPr>
          <w:rFonts w:cstheme="minorHAnsi"/>
          <w:szCs w:val="24"/>
        </w:rPr>
        <w:t xml:space="preserve">. </w:t>
      </w:r>
      <w:r w:rsidR="00CB0813" w:rsidRPr="007D383E">
        <w:rPr>
          <w:rFonts w:cstheme="minorHAnsi"/>
          <w:szCs w:val="24"/>
        </w:rPr>
        <w:t>N</w:t>
      </w:r>
      <w:r w:rsidR="00CB0813">
        <w:rPr>
          <w:rFonts w:cstheme="minorHAnsi"/>
          <w:szCs w:val="24"/>
        </w:rPr>
        <w:t>a</w:t>
      </w:r>
      <w:r w:rsidR="00CB0813" w:rsidRPr="007D383E">
        <w:rPr>
          <w:rFonts w:cstheme="minorHAnsi"/>
          <w:szCs w:val="24"/>
        </w:rPr>
        <w:t>jwiększe</w:t>
      </w:r>
      <w:r w:rsidR="00437EE7" w:rsidRPr="007D383E">
        <w:rPr>
          <w:rFonts w:cstheme="minorHAnsi"/>
          <w:szCs w:val="24"/>
        </w:rPr>
        <w:t xml:space="preserve"> wzrosty względem </w:t>
      </w:r>
      <w:r w:rsidR="00857446">
        <w:rPr>
          <w:rFonts w:cstheme="minorHAnsi"/>
          <w:szCs w:val="24"/>
        </w:rPr>
        <w:t>pierwszego kwartału 2024</w:t>
      </w:r>
      <w:r w:rsidR="00437EE7" w:rsidRPr="007D383E">
        <w:rPr>
          <w:rFonts w:cstheme="minorHAnsi"/>
          <w:szCs w:val="24"/>
        </w:rPr>
        <w:t xml:space="preserve"> r.</w:t>
      </w:r>
      <w:r w:rsidR="00CB0813">
        <w:rPr>
          <w:rFonts w:cstheme="minorHAnsi"/>
          <w:szCs w:val="24"/>
        </w:rPr>
        <w:t xml:space="preserve"> odnotowano </w:t>
      </w:r>
      <w:r w:rsidR="00857446">
        <w:rPr>
          <w:rFonts w:cstheme="minorHAnsi"/>
          <w:szCs w:val="24"/>
        </w:rPr>
        <w:t xml:space="preserve">również </w:t>
      </w:r>
      <w:r w:rsidR="00CB0813">
        <w:rPr>
          <w:rFonts w:cstheme="minorHAnsi"/>
          <w:szCs w:val="24"/>
        </w:rPr>
        <w:t>na trasach do/z Egiptu (+</w:t>
      </w:r>
      <w:r w:rsidR="00857446">
        <w:rPr>
          <w:rFonts w:cstheme="minorHAnsi"/>
          <w:szCs w:val="24"/>
        </w:rPr>
        <w:t>158,7</w:t>
      </w:r>
      <w:r w:rsidR="00CB0813">
        <w:rPr>
          <w:rFonts w:cstheme="minorHAnsi"/>
          <w:szCs w:val="24"/>
        </w:rPr>
        <w:t xml:space="preserve"> tys. pasażerów), </w:t>
      </w:r>
      <w:r w:rsidR="00857446">
        <w:rPr>
          <w:rFonts w:cstheme="minorHAnsi"/>
          <w:szCs w:val="24"/>
        </w:rPr>
        <w:t>Hiszpanii</w:t>
      </w:r>
      <w:r w:rsidR="00CB0813">
        <w:rPr>
          <w:rFonts w:cstheme="minorHAnsi"/>
          <w:szCs w:val="24"/>
        </w:rPr>
        <w:t xml:space="preserve"> (+</w:t>
      </w:r>
      <w:r w:rsidR="00857446">
        <w:rPr>
          <w:rFonts w:cstheme="minorHAnsi"/>
          <w:szCs w:val="24"/>
        </w:rPr>
        <w:t>41,4</w:t>
      </w:r>
      <w:r w:rsidR="00CB0813">
        <w:rPr>
          <w:rFonts w:cstheme="minorHAnsi"/>
          <w:szCs w:val="24"/>
        </w:rPr>
        <w:t xml:space="preserve"> tys.) i </w:t>
      </w:r>
      <w:r w:rsidR="00857446">
        <w:rPr>
          <w:rFonts w:cstheme="minorHAnsi"/>
          <w:szCs w:val="24"/>
        </w:rPr>
        <w:t>Dominikany</w:t>
      </w:r>
      <w:r w:rsidR="00CB0813">
        <w:rPr>
          <w:rFonts w:cstheme="minorHAnsi"/>
          <w:szCs w:val="24"/>
        </w:rPr>
        <w:t xml:space="preserve"> (+</w:t>
      </w:r>
      <w:r w:rsidR="00857446">
        <w:rPr>
          <w:rFonts w:cstheme="minorHAnsi"/>
          <w:szCs w:val="24"/>
        </w:rPr>
        <w:t>19,9</w:t>
      </w:r>
      <w:r w:rsidR="00CB0813">
        <w:rPr>
          <w:rFonts w:cstheme="minorHAnsi"/>
          <w:szCs w:val="24"/>
        </w:rPr>
        <w:t xml:space="preserve"> tys.)</w:t>
      </w:r>
      <w:r w:rsidR="00437EE7" w:rsidRPr="007D383E">
        <w:rPr>
          <w:rFonts w:cstheme="minorHAnsi"/>
          <w:szCs w:val="24"/>
        </w:rPr>
        <w:t xml:space="preserve">. </w:t>
      </w:r>
      <w:r w:rsidR="00857446">
        <w:rPr>
          <w:rFonts w:cstheme="minorHAnsi"/>
          <w:szCs w:val="24"/>
        </w:rPr>
        <w:t>Największe spadki wystąpiły na trasach do/z Włoch, Wielkiej Brytanii i Brazylii.</w:t>
      </w:r>
    </w:p>
    <w:p w14:paraId="2BCA76A2" w14:textId="30C728E6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</w:t>
      </w:r>
      <w:r w:rsidR="00236B0F">
        <w:rPr>
          <w:rFonts w:cstheme="minorHAnsi"/>
          <w:szCs w:val="24"/>
        </w:rPr>
        <w:t xml:space="preserve"> międzynarodowych</w:t>
      </w:r>
      <w:r w:rsidRPr="007D383E">
        <w:rPr>
          <w:rFonts w:cstheme="minorHAnsi"/>
          <w:szCs w:val="24"/>
        </w:rPr>
        <w:t xml:space="preserve"> pasażerów </w:t>
      </w:r>
      <w:r w:rsidR="00857446">
        <w:rPr>
          <w:rFonts w:cstheme="minorHAnsi"/>
          <w:szCs w:val="24"/>
        </w:rPr>
        <w:t xml:space="preserve">czarterowych </w:t>
      </w:r>
      <w:r w:rsidRPr="007D383E">
        <w:rPr>
          <w:rFonts w:cstheme="minorHAnsi"/>
          <w:szCs w:val="24"/>
        </w:rPr>
        <w:t xml:space="preserve">w </w:t>
      </w:r>
      <w:r w:rsidR="00857446"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obsłużyły </w:t>
      </w:r>
      <w:r w:rsidR="00857446" w:rsidRPr="007D383E">
        <w:rPr>
          <w:rFonts w:cstheme="minorHAnsi"/>
          <w:szCs w:val="24"/>
        </w:rPr>
        <w:t>Lotnisko Chopina w Warszawie (</w:t>
      </w:r>
      <w:r w:rsidR="00857446">
        <w:rPr>
          <w:rFonts w:cstheme="minorHAnsi"/>
          <w:szCs w:val="24"/>
        </w:rPr>
        <w:t xml:space="preserve">428,1 tys.) oraz </w:t>
      </w:r>
      <w:r w:rsidRPr="007D383E">
        <w:rPr>
          <w:rFonts w:cstheme="minorHAnsi"/>
          <w:szCs w:val="24"/>
        </w:rPr>
        <w:t>porty lotnicze Katowice-Pyrzowice (</w:t>
      </w:r>
      <w:r w:rsidR="00857446">
        <w:rPr>
          <w:rFonts w:cstheme="minorHAnsi"/>
          <w:szCs w:val="24"/>
        </w:rPr>
        <w:t>415,4</w:t>
      </w:r>
      <w:r w:rsidR="00ED50FC">
        <w:rPr>
          <w:rFonts w:cstheme="minorHAnsi"/>
          <w:szCs w:val="24"/>
        </w:rPr>
        <w:t xml:space="preserve"> tys.</w:t>
      </w:r>
      <w:r w:rsidRPr="007D383E">
        <w:rPr>
          <w:rFonts w:cstheme="minorHAnsi"/>
          <w:szCs w:val="24"/>
        </w:rPr>
        <w:t xml:space="preserve">), </w:t>
      </w:r>
      <w:r w:rsidR="00A332A6">
        <w:rPr>
          <w:rFonts w:cstheme="minorHAnsi"/>
          <w:szCs w:val="24"/>
        </w:rPr>
        <w:t>i </w:t>
      </w:r>
      <w:r w:rsidRPr="007D383E">
        <w:rPr>
          <w:rFonts w:cstheme="minorHAnsi"/>
          <w:szCs w:val="24"/>
        </w:rPr>
        <w:t>Poznań-Ławica (</w:t>
      </w:r>
      <w:r w:rsidR="00857446">
        <w:rPr>
          <w:rFonts w:cstheme="minorHAnsi"/>
          <w:szCs w:val="24"/>
        </w:rPr>
        <w:t>98,5</w:t>
      </w:r>
      <w:r w:rsidRPr="007D383E">
        <w:rPr>
          <w:rFonts w:cstheme="minorHAnsi"/>
          <w:szCs w:val="24"/>
        </w:rPr>
        <w:t xml:space="preserve"> tys.). </w:t>
      </w:r>
      <w:r w:rsidR="00F564C0">
        <w:rPr>
          <w:rFonts w:cstheme="minorHAnsi"/>
          <w:szCs w:val="24"/>
        </w:rPr>
        <w:t xml:space="preserve">Z kolei największe </w:t>
      </w:r>
      <w:r w:rsidR="00ED50FC">
        <w:rPr>
          <w:rFonts w:cstheme="minorHAnsi"/>
          <w:szCs w:val="24"/>
        </w:rPr>
        <w:t>wzrost</w:t>
      </w:r>
      <w:r w:rsidR="00F564C0">
        <w:rPr>
          <w:rFonts w:cstheme="minorHAnsi"/>
          <w:szCs w:val="24"/>
        </w:rPr>
        <w:t>y</w:t>
      </w:r>
      <w:r w:rsidR="00ED50FC">
        <w:rPr>
          <w:rFonts w:cstheme="minorHAnsi"/>
          <w:szCs w:val="24"/>
        </w:rPr>
        <w:t xml:space="preserve"> ilościow</w:t>
      </w:r>
      <w:r w:rsidR="00F564C0">
        <w:rPr>
          <w:rFonts w:cstheme="minorHAnsi"/>
          <w:szCs w:val="24"/>
        </w:rPr>
        <w:t>e</w:t>
      </w:r>
      <w:r w:rsidRPr="007D383E">
        <w:rPr>
          <w:rFonts w:cstheme="minorHAnsi"/>
          <w:szCs w:val="24"/>
        </w:rPr>
        <w:t xml:space="preserve"> względem </w:t>
      </w:r>
      <w:r w:rsidR="00857446">
        <w:rPr>
          <w:rFonts w:cstheme="minorHAnsi"/>
          <w:szCs w:val="24"/>
        </w:rPr>
        <w:t>pierwszego kwartału 2024</w:t>
      </w:r>
      <w:r w:rsidRPr="007D383E">
        <w:rPr>
          <w:rFonts w:cstheme="minorHAnsi"/>
          <w:szCs w:val="24"/>
        </w:rPr>
        <w:t xml:space="preserve"> roku</w:t>
      </w:r>
      <w:r w:rsidR="00ED50FC">
        <w:rPr>
          <w:rFonts w:cstheme="minorHAnsi"/>
          <w:szCs w:val="24"/>
        </w:rPr>
        <w:t xml:space="preserve"> miały porty lotnicze</w:t>
      </w:r>
      <w:r w:rsidRPr="007D383E">
        <w:rPr>
          <w:rFonts w:cstheme="minorHAnsi"/>
          <w:szCs w:val="24"/>
        </w:rPr>
        <w:t>: Katowice-Pyrzowice (+</w:t>
      </w:r>
      <w:r w:rsidR="00857446">
        <w:rPr>
          <w:rFonts w:cstheme="minorHAnsi"/>
          <w:szCs w:val="24"/>
        </w:rPr>
        <w:t>123,5</w:t>
      </w:r>
      <w:r w:rsidRPr="007D383E">
        <w:rPr>
          <w:rFonts w:cstheme="minorHAnsi"/>
          <w:szCs w:val="24"/>
        </w:rPr>
        <w:t xml:space="preserve"> tys.), Lotnisko Chopina (+</w:t>
      </w:r>
      <w:r w:rsidR="00857446">
        <w:rPr>
          <w:rFonts w:cstheme="minorHAnsi"/>
          <w:szCs w:val="24"/>
        </w:rPr>
        <w:t>65,3</w:t>
      </w:r>
      <w:r w:rsidRPr="007D383E">
        <w:rPr>
          <w:rFonts w:cstheme="minorHAnsi"/>
          <w:szCs w:val="24"/>
        </w:rPr>
        <w:t xml:space="preserve"> tys.) i </w:t>
      </w:r>
      <w:r w:rsidR="00ED50FC">
        <w:rPr>
          <w:rFonts w:cstheme="minorHAnsi"/>
          <w:szCs w:val="24"/>
        </w:rPr>
        <w:t>Wrocław-Strachowice</w:t>
      </w:r>
      <w:r w:rsidRPr="007D383E">
        <w:rPr>
          <w:rFonts w:cstheme="minorHAnsi"/>
          <w:szCs w:val="24"/>
        </w:rPr>
        <w:t xml:space="preserve"> (+</w:t>
      </w:r>
      <w:r w:rsidR="00857446">
        <w:rPr>
          <w:rFonts w:cstheme="minorHAnsi"/>
          <w:szCs w:val="24"/>
        </w:rPr>
        <w:t>27,9</w:t>
      </w:r>
      <w:r w:rsidRPr="007D383E">
        <w:rPr>
          <w:rFonts w:cstheme="minorHAnsi"/>
          <w:szCs w:val="24"/>
        </w:rPr>
        <w:t xml:space="preserve"> tys.). </w:t>
      </w:r>
      <w:r w:rsidR="00857446">
        <w:rPr>
          <w:rFonts w:cstheme="minorHAnsi"/>
          <w:szCs w:val="24"/>
        </w:rPr>
        <w:t>Spadki odnotowano w przypadku lotnisk Warszawa</w:t>
      </w:r>
      <w:r w:rsidR="007B131B">
        <w:rPr>
          <w:rFonts w:cstheme="minorHAnsi"/>
          <w:szCs w:val="24"/>
        </w:rPr>
        <w:t>-</w:t>
      </w:r>
      <w:r w:rsidR="00857446">
        <w:rPr>
          <w:rFonts w:cstheme="minorHAnsi"/>
          <w:szCs w:val="24"/>
        </w:rPr>
        <w:t>Radom, Szczecin-Goleniów, Rzeszów-Jasionka i Łódź.</w:t>
      </w:r>
    </w:p>
    <w:p w14:paraId="1135E4B2" w14:textId="42B6EAAC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 xml:space="preserve">Najwięcej pasażerów w międzynarodowym ruchu czarterowym w </w:t>
      </w:r>
      <w:r w:rsidR="007B131B">
        <w:rPr>
          <w:rFonts w:cstheme="minorHAnsi"/>
          <w:szCs w:val="24"/>
        </w:rPr>
        <w:t>pierwszym kwartale 2025</w:t>
      </w:r>
      <w:r w:rsidRPr="007D383E">
        <w:rPr>
          <w:rFonts w:cstheme="minorHAnsi"/>
          <w:szCs w:val="24"/>
        </w:rPr>
        <w:t xml:space="preserve"> roku przewieźli Enter Air (</w:t>
      </w:r>
      <w:r w:rsidR="007B131B">
        <w:rPr>
          <w:rFonts w:cstheme="minorHAnsi"/>
          <w:szCs w:val="24"/>
        </w:rPr>
        <w:t>345,5</w:t>
      </w:r>
      <w:r w:rsidR="00363D67">
        <w:rPr>
          <w:rFonts w:cstheme="minorHAnsi"/>
          <w:szCs w:val="24"/>
        </w:rPr>
        <w:t xml:space="preserve"> tys.</w:t>
      </w:r>
      <w:r w:rsidRPr="007D383E">
        <w:rPr>
          <w:rFonts w:cstheme="minorHAnsi"/>
          <w:szCs w:val="24"/>
        </w:rPr>
        <w:t xml:space="preserve">), </w:t>
      </w:r>
      <w:r w:rsidR="00363D67" w:rsidRPr="007D383E">
        <w:rPr>
          <w:rFonts w:cstheme="minorHAnsi"/>
          <w:szCs w:val="24"/>
        </w:rPr>
        <w:t xml:space="preserve">PLL LOT </w:t>
      </w:r>
      <w:r w:rsidRPr="007D383E">
        <w:rPr>
          <w:rFonts w:cstheme="minorHAnsi"/>
          <w:szCs w:val="24"/>
        </w:rPr>
        <w:t>(</w:t>
      </w:r>
      <w:r w:rsidR="007B131B">
        <w:rPr>
          <w:rFonts w:cstheme="minorHAnsi"/>
          <w:szCs w:val="24"/>
        </w:rPr>
        <w:t>239,1</w:t>
      </w:r>
      <w:r w:rsidRPr="007D383E">
        <w:rPr>
          <w:rFonts w:cstheme="minorHAnsi"/>
          <w:szCs w:val="24"/>
        </w:rPr>
        <w:t xml:space="preserve"> tys.) oraz </w:t>
      </w:r>
      <w:r w:rsidR="007B131B">
        <w:rPr>
          <w:rFonts w:cstheme="minorHAnsi"/>
          <w:szCs w:val="24"/>
        </w:rPr>
        <w:t>SkyUp Airlines</w:t>
      </w:r>
      <w:r w:rsidRPr="007D383E">
        <w:rPr>
          <w:rFonts w:cstheme="minorHAnsi"/>
          <w:szCs w:val="24"/>
        </w:rPr>
        <w:t xml:space="preserve"> (</w:t>
      </w:r>
      <w:r w:rsidR="007B131B">
        <w:rPr>
          <w:rFonts w:cstheme="minorHAnsi"/>
          <w:szCs w:val="24"/>
        </w:rPr>
        <w:t>124,5</w:t>
      </w:r>
      <w:r w:rsidRPr="007D383E">
        <w:rPr>
          <w:rFonts w:cstheme="minorHAnsi"/>
          <w:szCs w:val="24"/>
        </w:rPr>
        <w:t xml:space="preserve"> tys.). </w:t>
      </w:r>
      <w:r w:rsidR="009965C0" w:rsidRPr="007D383E">
        <w:rPr>
          <w:rFonts w:cstheme="minorHAnsi"/>
          <w:szCs w:val="24"/>
        </w:rPr>
        <w:t>Naj</w:t>
      </w:r>
      <w:r w:rsidR="009965C0">
        <w:rPr>
          <w:rFonts w:cstheme="minorHAnsi"/>
          <w:szCs w:val="24"/>
        </w:rPr>
        <w:t>wyższe</w:t>
      </w:r>
      <w:r w:rsidR="009965C0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wzrosty ilościowe względem </w:t>
      </w:r>
      <w:r w:rsidR="007B131B">
        <w:rPr>
          <w:rFonts w:cstheme="minorHAnsi"/>
          <w:szCs w:val="24"/>
        </w:rPr>
        <w:t>pierwszego</w:t>
      </w:r>
      <w:r w:rsidRPr="007D383E">
        <w:rPr>
          <w:rFonts w:cstheme="minorHAnsi"/>
          <w:szCs w:val="24"/>
        </w:rPr>
        <w:t xml:space="preserve"> kwartału 202</w:t>
      </w:r>
      <w:r w:rsidR="007B131B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 odnotowali </w:t>
      </w:r>
      <w:r w:rsidR="007B131B">
        <w:rPr>
          <w:rFonts w:cstheme="minorHAnsi"/>
          <w:szCs w:val="24"/>
        </w:rPr>
        <w:t>SkyUp Airlines</w:t>
      </w:r>
      <w:r w:rsidR="007B131B" w:rsidRPr="007D383E">
        <w:rPr>
          <w:rFonts w:cstheme="minorHAnsi"/>
          <w:szCs w:val="24"/>
        </w:rPr>
        <w:t xml:space="preserve"> (+</w:t>
      </w:r>
      <w:r w:rsidR="007B131B">
        <w:rPr>
          <w:rFonts w:cstheme="minorHAnsi"/>
          <w:szCs w:val="24"/>
        </w:rPr>
        <w:t>88,2</w:t>
      </w:r>
      <w:r w:rsidR="007B131B" w:rsidRPr="007D383E">
        <w:rPr>
          <w:rFonts w:cstheme="minorHAnsi"/>
          <w:szCs w:val="24"/>
        </w:rPr>
        <w:t xml:space="preserve"> tys.)</w:t>
      </w:r>
      <w:r w:rsidR="007B131B">
        <w:rPr>
          <w:rFonts w:cstheme="minorHAnsi"/>
          <w:szCs w:val="24"/>
        </w:rPr>
        <w:t>,</w:t>
      </w:r>
      <w:r w:rsidR="007B13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Enter Air (+</w:t>
      </w:r>
      <w:r w:rsidR="007B131B">
        <w:rPr>
          <w:rFonts w:cstheme="minorHAnsi"/>
          <w:szCs w:val="24"/>
        </w:rPr>
        <w:t>60,6 tys.)</w:t>
      </w:r>
      <w:r w:rsidRPr="007D383E">
        <w:rPr>
          <w:rFonts w:cstheme="minorHAnsi"/>
          <w:szCs w:val="24"/>
        </w:rPr>
        <w:t xml:space="preserve"> </w:t>
      </w:r>
      <w:r w:rsidR="00363D67" w:rsidRPr="007D383E">
        <w:rPr>
          <w:rFonts w:cstheme="minorHAnsi"/>
          <w:szCs w:val="24"/>
        </w:rPr>
        <w:t xml:space="preserve">oraz PLL LOT </w:t>
      </w:r>
      <w:r w:rsidRPr="007D383E">
        <w:rPr>
          <w:rFonts w:cstheme="minorHAnsi"/>
          <w:szCs w:val="24"/>
        </w:rPr>
        <w:t>(+</w:t>
      </w:r>
      <w:r w:rsidR="007B131B">
        <w:rPr>
          <w:rFonts w:cstheme="minorHAnsi"/>
          <w:szCs w:val="24"/>
        </w:rPr>
        <w:t>37,8 tys.).</w:t>
      </w:r>
    </w:p>
    <w:p w14:paraId="5B932AD9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668846E" wp14:editId="30EED7A2">
            <wp:extent cx="4680000" cy="2340000"/>
            <wp:effectExtent l="0" t="0" r="6350" b="3175"/>
            <wp:docPr id="68" name="Wykres 68" descr="Wykres przedstawia liczbę przewiezionych pasażerów w międzynarodowym ruchu czarterowym w danym kwartale z uwzględnieniem analogicznych okresów poprzednich 2 lat. Dane przedstawione w Tabeli 11.1 poniżej." title="Wykres 11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7DFAACA" w14:textId="278624C7" w:rsidR="00E77CD5" w:rsidRPr="007D383E" w:rsidRDefault="00E77CD5" w:rsidP="00BA77DD">
      <w:pPr>
        <w:pStyle w:val="Legenda"/>
        <w:rPr>
          <w:rFonts w:cstheme="minorHAnsi"/>
          <w:szCs w:val="24"/>
        </w:rPr>
      </w:pPr>
      <w:bookmarkStart w:id="50" w:name="_Toc20053493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11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czarterowych (mln) – kwartał – wykres przedstawia liczbę przewiezionych pasażerów w </w:t>
      </w:r>
      <w:r w:rsidR="00BA77DD">
        <w:rPr>
          <w:noProof/>
        </w:rPr>
        <w:t xml:space="preserve">międzynarodowym </w:t>
      </w:r>
      <w:r w:rsidRPr="007D383E">
        <w:rPr>
          <w:noProof/>
        </w:rPr>
        <w:t xml:space="preserve">ruchu czarterowym </w:t>
      </w:r>
      <w:r w:rsidR="00A2095D" w:rsidRPr="007D383E">
        <w:rPr>
          <w:noProof/>
        </w:rPr>
        <w:t xml:space="preserve">w </w:t>
      </w:r>
      <w:r w:rsidR="00A44535">
        <w:rPr>
          <w:noProof/>
        </w:rPr>
        <w:t>pierwszym</w:t>
      </w:r>
      <w:r w:rsidR="00A2095D" w:rsidRPr="007D383E">
        <w:rPr>
          <w:noProof/>
        </w:rPr>
        <w:t xml:space="preserve"> kwartale 202</w:t>
      </w:r>
      <w:r w:rsidR="00A44535">
        <w:rPr>
          <w:noProof/>
        </w:rPr>
        <w:t>5</w:t>
      </w:r>
      <w:r w:rsidR="00A2095D" w:rsidRPr="007D383E">
        <w:rPr>
          <w:noProof/>
        </w:rPr>
        <w:t xml:space="preserve"> roku </w:t>
      </w:r>
      <w:r w:rsidR="00E061A9">
        <w:rPr>
          <w:noProof/>
        </w:rPr>
        <w:t>z </w:t>
      </w:r>
      <w:r w:rsidRPr="007D383E">
        <w:rPr>
          <w:noProof/>
        </w:rPr>
        <w:t xml:space="preserve">uwzględnieniem tego samego okresu lat </w:t>
      </w:r>
      <w:r w:rsidR="00A2095D" w:rsidRPr="007D383E">
        <w:rPr>
          <w:noProof/>
        </w:rPr>
        <w:t>202</w:t>
      </w:r>
      <w:r w:rsidR="00A44535">
        <w:rPr>
          <w:noProof/>
        </w:rPr>
        <w:t>4</w:t>
      </w:r>
      <w:r w:rsidR="009078D6" w:rsidRPr="007D383E">
        <w:rPr>
          <w:noProof/>
        </w:rPr>
        <w:t xml:space="preserve"> i 202</w:t>
      </w:r>
      <w:r w:rsidR="00A44535">
        <w:rPr>
          <w:noProof/>
        </w:rPr>
        <w:t>3</w:t>
      </w:r>
      <w:r w:rsidRPr="007D383E">
        <w:rPr>
          <w:noProof/>
        </w:rPr>
        <w:t>.</w:t>
      </w:r>
      <w:bookmarkEnd w:id="50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1.1 Liczba pasażerów czarterowych (mln) – kwartał"/>
        <w:tblDescription w:val="Tabela przedstawia liczbę przewiezionych pasażerów w międzynarodowym ruchu czarterowym w danym kwartale z uwzględnieniem analogicznych okresów poprzednich 2 lat. "/>
      </w:tblPr>
      <w:tblGrid>
        <w:gridCol w:w="1590"/>
        <w:gridCol w:w="1590"/>
      </w:tblGrid>
      <w:tr w:rsidR="002E4EA4" w:rsidRPr="007D383E" w14:paraId="5E140A55" w14:textId="77777777" w:rsidTr="006F5049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7C6B3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E8729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A44535" w:rsidRPr="007D383E" w14:paraId="4482CDE5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D41EF" w14:textId="76143520" w:rsidR="00A44535" w:rsidRPr="007D383E" w:rsidRDefault="00841857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74C9B" w14:textId="42240450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1 141 657</w:t>
            </w:r>
          </w:p>
        </w:tc>
      </w:tr>
      <w:tr w:rsidR="00A44535" w:rsidRPr="007D383E" w14:paraId="5B02BCD7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1A022" w14:textId="69308835" w:rsidR="00A44535" w:rsidRPr="007D383E" w:rsidRDefault="00841857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91F4E" w14:textId="259301D0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872 553</w:t>
            </w:r>
          </w:p>
        </w:tc>
      </w:tr>
      <w:tr w:rsidR="00A44535" w:rsidRPr="007D383E" w14:paraId="36A11947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36537" w14:textId="2D08217F" w:rsidR="00A44535" w:rsidRPr="007D383E" w:rsidRDefault="00841857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EB20A" w14:textId="495462D9" w:rsidR="00A44535" w:rsidRPr="007D383E" w:rsidRDefault="00A44535" w:rsidP="00A4453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A44535">
              <w:rPr>
                <w:rFonts w:cstheme="minorHAnsi"/>
                <w:color w:val="283772"/>
                <w:szCs w:val="24"/>
              </w:rPr>
              <w:t>501 805</w:t>
            </w:r>
          </w:p>
        </w:tc>
      </w:tr>
    </w:tbl>
    <w:p w14:paraId="5D5384FE" w14:textId="474AD968" w:rsidR="006F5049" w:rsidRPr="007D383E" w:rsidRDefault="006F5049">
      <w:pPr>
        <w:pStyle w:val="Legenda"/>
        <w:rPr>
          <w:noProof/>
        </w:rPr>
      </w:pPr>
      <w:bookmarkStart w:id="51" w:name="_Toc20053854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11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czarterowych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51"/>
    </w:p>
    <w:p w14:paraId="6821FA0F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EB29B19" wp14:editId="55D32B48">
            <wp:extent cx="3600000" cy="1922400"/>
            <wp:effectExtent l="0" t="0" r="635" b="1905"/>
            <wp:docPr id="69" name="Wykres 69" descr="Wykres przedstawia zmiany zachodzące w danym kwartale w międzynarodowym ruchu czarterowym w porównaniu z analogicznym okresem roku poprzedniego, a także sprzed 2 lat. Dane przedstawione w Tabeli 11.2 poniżej." title="Wykres 11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A82FFF7" w14:textId="7ACEBCA2" w:rsidR="00E77CD5" w:rsidRPr="007D383E" w:rsidRDefault="00E77CD5" w:rsidP="0089169E">
      <w:pPr>
        <w:pStyle w:val="Legenda"/>
        <w:spacing w:after="720"/>
      </w:pPr>
      <w:bookmarkStart w:id="52" w:name="_Toc200534935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11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czarterowego – kwartał – wykres </w:t>
      </w:r>
      <w:r w:rsidR="00E6289F" w:rsidRPr="007D383E">
        <w:rPr>
          <w:noProof/>
        </w:rPr>
        <w:t xml:space="preserve">przedstawia zmiany zachodzące </w:t>
      </w:r>
      <w:r w:rsidR="00EA13B7" w:rsidRPr="007D383E">
        <w:rPr>
          <w:noProof/>
        </w:rPr>
        <w:t>w </w:t>
      </w:r>
      <w:r w:rsidR="00841857">
        <w:rPr>
          <w:noProof/>
        </w:rPr>
        <w:t>pierwszym kwartale 2025</w:t>
      </w:r>
      <w:r w:rsidR="00A2095D" w:rsidRPr="007D383E">
        <w:rPr>
          <w:noProof/>
        </w:rPr>
        <w:t xml:space="preserve"> roku </w:t>
      </w:r>
      <w:r w:rsidRPr="007D383E">
        <w:rPr>
          <w:noProof/>
        </w:rPr>
        <w:t xml:space="preserve">w </w:t>
      </w:r>
      <w:r w:rsidR="00BA77DD">
        <w:rPr>
          <w:noProof/>
        </w:rPr>
        <w:t xml:space="preserve">międzynarodowym </w:t>
      </w:r>
      <w:r w:rsidRPr="007D383E">
        <w:rPr>
          <w:noProof/>
        </w:rPr>
        <w:t xml:space="preserve">ruchu czarterowym w porównaniu do analogicznego okresu lat </w:t>
      </w:r>
      <w:r w:rsidR="00841857">
        <w:rPr>
          <w:noProof/>
        </w:rPr>
        <w:t>2024</w:t>
      </w:r>
      <w:r w:rsidR="00EA13B7" w:rsidRPr="007D383E">
        <w:rPr>
          <w:noProof/>
        </w:rPr>
        <w:t xml:space="preserve"> i </w:t>
      </w:r>
      <w:r w:rsidR="00841857">
        <w:rPr>
          <w:noProof/>
        </w:rPr>
        <w:t>2023</w:t>
      </w:r>
      <w:r w:rsidRPr="007D383E">
        <w:rPr>
          <w:noProof/>
        </w:rPr>
        <w:t>.</w:t>
      </w:r>
      <w:bookmarkEnd w:id="5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1.2 Dynamika ruchu czarterowego – kwartał"/>
        <w:tblDescription w:val="Tabela przedstawia zmiany zachodzące w danym kwartale w międzynarodowym ruchu czarterowym w porównaniu z analogicznym okresem roku poprzedniego, a także sprzed 2 lat. "/>
      </w:tblPr>
      <w:tblGrid>
        <w:gridCol w:w="1680"/>
        <w:gridCol w:w="1500"/>
      </w:tblGrid>
      <w:tr w:rsidR="002E4EA4" w:rsidRPr="007D383E" w14:paraId="76D7DBBF" w14:textId="77777777" w:rsidTr="006F5049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2A3DD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15F4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841857" w:rsidRPr="007D383E" w14:paraId="76DDDBB5" w14:textId="77777777" w:rsidTr="00E56D15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631BC" w14:textId="28C56D39" w:rsidR="00841857" w:rsidRPr="007D383E" w:rsidRDefault="00841857" w:rsidP="0084185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2024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EE32C" w14:textId="1F1C8E12" w:rsidR="00841857" w:rsidRPr="007D383E" w:rsidRDefault="00841857" w:rsidP="0084185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841857">
              <w:rPr>
                <w:rFonts w:cstheme="minorHAnsi"/>
                <w:color w:val="283772"/>
                <w:szCs w:val="24"/>
              </w:rPr>
              <w:t>30,8%</w:t>
            </w:r>
          </w:p>
        </w:tc>
      </w:tr>
      <w:tr w:rsidR="00841857" w:rsidRPr="007D383E" w14:paraId="0F28AC1C" w14:textId="77777777" w:rsidTr="00E56D15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2AEF5" w14:textId="1612C451" w:rsidR="00841857" w:rsidRPr="007D383E" w:rsidRDefault="00841857" w:rsidP="0084185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  <w:r w:rsidRPr="007D383E">
              <w:rPr>
                <w:rFonts w:cstheme="minorHAnsi"/>
                <w:color w:val="283772"/>
                <w:szCs w:val="24"/>
              </w:rPr>
              <w:t xml:space="preserve"> v</w:t>
            </w:r>
            <w:r>
              <w:rPr>
                <w:rFonts w:cstheme="minorHAnsi"/>
                <w:color w:val="283772"/>
                <w:szCs w:val="24"/>
              </w:rPr>
              <w:t>s 2023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EBEBF" w14:textId="2E86660E" w:rsidR="00841857" w:rsidRPr="007D383E" w:rsidRDefault="00841857" w:rsidP="0084185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841857">
              <w:rPr>
                <w:rFonts w:cstheme="minorHAnsi"/>
                <w:color w:val="283772"/>
                <w:szCs w:val="24"/>
              </w:rPr>
              <w:t>127,5%</w:t>
            </w:r>
          </w:p>
        </w:tc>
      </w:tr>
    </w:tbl>
    <w:p w14:paraId="265F786D" w14:textId="2DDCF39C" w:rsidR="006F5049" w:rsidRPr="007D383E" w:rsidRDefault="006F5049">
      <w:pPr>
        <w:pStyle w:val="Legenda"/>
      </w:pPr>
      <w:bookmarkStart w:id="53" w:name="_Toc20053854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11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czarterowego</w:t>
      </w:r>
      <w:r w:rsidRPr="007D383E">
        <w:rPr>
          <w:noProof/>
        </w:rPr>
        <w:t xml:space="preserve"> – kwartał</w:t>
      </w:r>
      <w:bookmarkEnd w:id="53"/>
    </w:p>
    <w:p w14:paraId="379BC7AA" w14:textId="77777777" w:rsidR="002E4EA4" w:rsidRPr="007D383E" w:rsidRDefault="00574DE0" w:rsidP="005A6434">
      <w:pPr>
        <w:pStyle w:val="Nagwek1"/>
      </w:pPr>
      <w:bookmarkStart w:id="54" w:name="_Toc200533903"/>
      <w:r w:rsidRPr="007D383E">
        <w:t>Porównanie z danymi IATA – RPKM</w:t>
      </w:r>
      <w:bookmarkEnd w:id="54"/>
    </w:p>
    <w:p w14:paraId="6E4784F8" w14:textId="46741BE6" w:rsidR="00437EE7" w:rsidRPr="007D383E" w:rsidRDefault="00437EE7" w:rsidP="00437EE7">
      <w:r w:rsidRPr="007D383E">
        <w:rPr>
          <w:rFonts w:cstheme="minorHAnsi"/>
          <w:szCs w:val="24"/>
        </w:rPr>
        <w:t xml:space="preserve">W </w:t>
      </w:r>
      <w:r w:rsidR="0005434A">
        <w:rPr>
          <w:rFonts w:cstheme="minorHAnsi"/>
          <w:szCs w:val="24"/>
        </w:rPr>
        <w:t xml:space="preserve">pierwszym kwartale </w:t>
      </w:r>
      <w:r w:rsidRPr="007D383E">
        <w:rPr>
          <w:rFonts w:cstheme="minorHAnsi"/>
          <w:szCs w:val="24"/>
        </w:rPr>
        <w:t>202</w:t>
      </w:r>
      <w:r w:rsidR="0005434A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roku polski rynek o</w:t>
      </w:r>
      <w:r w:rsidR="00E061A9">
        <w:rPr>
          <w:rFonts w:cstheme="minorHAnsi"/>
          <w:szCs w:val="24"/>
        </w:rPr>
        <w:t>dnotował wyższą dynamikę RPKM w </w:t>
      </w:r>
      <w:r w:rsidRPr="007D383E">
        <w:rPr>
          <w:rFonts w:cstheme="minorHAnsi"/>
          <w:szCs w:val="24"/>
        </w:rPr>
        <w:t>porównaniu do wzrostu liczby pasażerów (o </w:t>
      </w:r>
      <w:r w:rsidR="0005434A">
        <w:rPr>
          <w:rFonts w:cstheme="minorHAnsi"/>
          <w:szCs w:val="24"/>
        </w:rPr>
        <w:t>4,3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="00E061A9">
        <w:rPr>
          <w:rFonts w:cstheme="minorHAnsi"/>
          <w:szCs w:val="24"/>
        </w:rPr>
        <w:t xml:space="preserve">), do czego </w:t>
      </w:r>
      <w:r w:rsidRPr="007D383E">
        <w:rPr>
          <w:rFonts w:cstheme="minorHAnsi"/>
          <w:szCs w:val="24"/>
        </w:rPr>
        <w:t>przyczyniło się wydłużenie średniej dług</w:t>
      </w:r>
      <w:r w:rsidR="00E061A9">
        <w:rPr>
          <w:rFonts w:cstheme="minorHAnsi"/>
          <w:szCs w:val="24"/>
        </w:rPr>
        <w:t xml:space="preserve">ości odcinka lotu o ok. </w:t>
      </w:r>
      <w:r w:rsidR="0005434A">
        <w:rPr>
          <w:rFonts w:cstheme="minorHAnsi"/>
          <w:szCs w:val="24"/>
        </w:rPr>
        <w:t>75</w:t>
      </w:r>
      <w:r w:rsidR="00E061A9">
        <w:rPr>
          <w:rFonts w:cstheme="minorHAnsi"/>
          <w:szCs w:val="24"/>
        </w:rPr>
        <w:t xml:space="preserve"> km w </w:t>
      </w:r>
      <w:r w:rsidRPr="007D383E">
        <w:rPr>
          <w:rFonts w:cstheme="minorHAnsi"/>
          <w:szCs w:val="24"/>
        </w:rPr>
        <w:t xml:space="preserve">porównaniu do </w:t>
      </w:r>
      <w:r w:rsidR="0005434A">
        <w:rPr>
          <w:rFonts w:cstheme="minorHAnsi"/>
          <w:szCs w:val="24"/>
        </w:rPr>
        <w:t xml:space="preserve">pierwszego kwartału </w:t>
      </w:r>
      <w:r w:rsidRPr="007D383E">
        <w:rPr>
          <w:rFonts w:cstheme="minorHAnsi"/>
          <w:szCs w:val="24"/>
        </w:rPr>
        <w:t>202</w:t>
      </w:r>
      <w:r w:rsidR="0005434A">
        <w:rPr>
          <w:rFonts w:cstheme="minorHAnsi"/>
          <w:szCs w:val="24"/>
        </w:rPr>
        <w:t>4 roku.</w:t>
      </w:r>
    </w:p>
    <w:p w14:paraId="48C5117C" w14:textId="62178EC4" w:rsidR="002E4EA4" w:rsidRPr="007D383E" w:rsidRDefault="0005434A" w:rsidP="00437EE7">
      <w:pPr>
        <w:rPr>
          <w:rFonts w:cstheme="minorHAnsi"/>
          <w:szCs w:val="24"/>
        </w:rPr>
      </w:pPr>
      <w:r>
        <w:t>D</w:t>
      </w:r>
      <w:r w:rsidR="00437EE7" w:rsidRPr="007D383E">
        <w:t>ynamika RPKM</w:t>
      </w:r>
      <w:r>
        <w:t xml:space="preserve"> polskiego rynku</w:t>
      </w:r>
      <w:r w:rsidR="00437EE7" w:rsidRPr="007D383E">
        <w:t xml:space="preserve"> przewyższa</w:t>
      </w:r>
      <w:r w:rsidR="00235511">
        <w:t xml:space="preserve"> procentowe wyniki Europy o </w:t>
      </w:r>
      <w:r>
        <w:t>10,6</w:t>
      </w:r>
      <w:r w:rsidR="00235511">
        <w:t> </w:t>
      </w:r>
      <w:r w:rsidR="00B667B3">
        <w:rPr>
          <w:rFonts w:cstheme="minorHAnsi"/>
          <w:szCs w:val="24"/>
        </w:rPr>
        <w:t>punktu procentowego</w:t>
      </w:r>
      <w:r w:rsidR="00437EE7" w:rsidRPr="007D383E">
        <w:rPr>
          <w:rFonts w:cstheme="minorHAnsi"/>
          <w:szCs w:val="24"/>
        </w:rPr>
        <w:t xml:space="preserve"> </w:t>
      </w:r>
      <w:r w:rsidR="00437EE7" w:rsidRPr="007D383E">
        <w:t xml:space="preserve">i świata o </w:t>
      </w:r>
      <w:r>
        <w:t>10,8</w:t>
      </w:r>
      <w:r w:rsidR="00437EE7" w:rsidRPr="007D383E">
        <w:t xml:space="preserve"> </w:t>
      </w:r>
      <w:r w:rsidR="00B667B3">
        <w:rPr>
          <w:rFonts w:cstheme="minorHAnsi"/>
          <w:szCs w:val="24"/>
        </w:rPr>
        <w:t>punktu procentowego</w:t>
      </w:r>
      <w:r w:rsidR="00437EE7" w:rsidRPr="007D383E">
        <w:rPr>
          <w:rFonts w:cstheme="minorHAnsi"/>
          <w:szCs w:val="24"/>
        </w:rPr>
        <w:t xml:space="preserve"> (wg. IATA)</w:t>
      </w:r>
      <w:r w:rsidR="00437EE7" w:rsidRPr="007D383E">
        <w:rPr>
          <w:rStyle w:val="Odwoanieprzypisudolnego"/>
          <w:rFonts w:cstheme="minorHAnsi"/>
          <w:szCs w:val="24"/>
        </w:rPr>
        <w:footnoteReference w:id="7"/>
      </w:r>
      <w:r w:rsidR="00437EE7" w:rsidRPr="007D383E">
        <w:rPr>
          <w:rFonts w:cstheme="minorHAnsi"/>
          <w:szCs w:val="24"/>
        </w:rPr>
        <w:t>. Wzrost RPKM względem</w:t>
      </w:r>
      <w:r w:rsidR="00412A3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pierwszego kwartału </w:t>
      </w:r>
      <w:r w:rsidR="00412A3C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4</w:t>
      </w:r>
      <w:r w:rsidR="00412A3C">
        <w:rPr>
          <w:rFonts w:cstheme="minorHAnsi"/>
          <w:szCs w:val="24"/>
        </w:rPr>
        <w:t xml:space="preserve"> roku wyniósł </w:t>
      </w:r>
      <w:r>
        <w:rPr>
          <w:rFonts w:cstheme="minorHAnsi"/>
          <w:szCs w:val="24"/>
        </w:rPr>
        <w:t>16,1%</w:t>
      </w:r>
      <w:r w:rsidR="00437EE7" w:rsidRPr="007D383E">
        <w:rPr>
          <w:rFonts w:cstheme="minorHAnsi"/>
          <w:szCs w:val="24"/>
        </w:rPr>
        <w:t>.</w:t>
      </w:r>
    </w:p>
    <w:p w14:paraId="4B3C9165" w14:textId="5FB795B4" w:rsidR="00EB1713" w:rsidRPr="007D383E" w:rsidRDefault="00841857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0F70ADC" wp14:editId="2130434C">
            <wp:extent cx="3600000" cy="1922400"/>
            <wp:effectExtent l="0" t="0" r="635" b="1905"/>
            <wp:docPr id="6" name="Wykres 6" descr="Wykres przedstawia wartości RPKM w minionym kwartale z uwzględnieniem analogicznego okresu poprzedniego roku. Dane przedstawione w Tabeli 12.1 poniżej." title="Wykres 12.1 RPKM (mln) – kwarta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DA2B73D" w14:textId="44EF0185" w:rsidR="00EB1713" w:rsidRPr="007D383E" w:rsidRDefault="00EB1713" w:rsidP="00EB1713">
      <w:pPr>
        <w:pStyle w:val="Legenda"/>
        <w:rPr>
          <w:rFonts w:cstheme="minorHAnsi"/>
          <w:szCs w:val="24"/>
        </w:rPr>
      </w:pPr>
      <w:bookmarkStart w:id="55" w:name="_Toc200534936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12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841857" w:rsidRPr="007D383E">
        <w:rPr>
          <w:noProof/>
        </w:rPr>
        <w:t xml:space="preserve">RPKM (mln) – kwartał – wykres przedstawia wartości RPKM w </w:t>
      </w:r>
      <w:r w:rsidR="00841857">
        <w:rPr>
          <w:noProof/>
        </w:rPr>
        <w:t>pierwszym</w:t>
      </w:r>
      <w:r w:rsidR="00841857" w:rsidRPr="007D383E">
        <w:rPr>
          <w:noProof/>
        </w:rPr>
        <w:t xml:space="preserve"> kwartale 202</w:t>
      </w:r>
      <w:r w:rsidR="00841857">
        <w:rPr>
          <w:noProof/>
        </w:rPr>
        <w:t>5</w:t>
      </w:r>
      <w:r w:rsidR="00841857" w:rsidRPr="007D383E">
        <w:rPr>
          <w:noProof/>
        </w:rPr>
        <w:t xml:space="preserve"> roku z uwzględnieniem analogicznego okresu 202</w:t>
      </w:r>
      <w:r w:rsidR="00841857">
        <w:rPr>
          <w:noProof/>
        </w:rPr>
        <w:t>4</w:t>
      </w:r>
      <w:r w:rsidR="00841857" w:rsidRPr="007D383E">
        <w:rPr>
          <w:noProof/>
        </w:rPr>
        <w:t xml:space="preserve"> roku.</w:t>
      </w:r>
      <w:bookmarkEnd w:id="55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RPKM (mln) – kwartał"/>
        <w:tblDescription w:val="Tabela przedstawia wartości RPKM w minionym kwartale z uwzględnieniem analogicznego okresu poprzedniego roku. "/>
      </w:tblPr>
      <w:tblGrid>
        <w:gridCol w:w="1590"/>
        <w:gridCol w:w="1590"/>
      </w:tblGrid>
      <w:tr w:rsidR="002E4EA4" w:rsidRPr="007D383E" w14:paraId="0575003D" w14:textId="77777777" w:rsidTr="00E8592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CA06A" w14:textId="77777777" w:rsidR="002E4EA4" w:rsidRPr="007D383E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2C2B8" w14:textId="77777777" w:rsidR="002E4EA4" w:rsidRPr="007D383E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285F9D" w:rsidRPr="007D383E" w14:paraId="00924A51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6CD25" w14:textId="43B2D432" w:rsidR="00285F9D" w:rsidRPr="007D383E" w:rsidRDefault="00285F9D" w:rsidP="00285F9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8EBFE" w14:textId="0A4FA0E0" w:rsidR="00285F9D" w:rsidRPr="007D383E" w:rsidRDefault="00285F9D" w:rsidP="00285F9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85F9D">
              <w:rPr>
                <w:rFonts w:cstheme="minorHAnsi"/>
                <w:color w:val="283772"/>
                <w:szCs w:val="24"/>
              </w:rPr>
              <w:t>22 228</w:t>
            </w:r>
          </w:p>
        </w:tc>
      </w:tr>
      <w:tr w:rsidR="00285F9D" w:rsidRPr="007D383E" w14:paraId="75D35FE9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9AD24" w14:textId="44006AE6" w:rsidR="00285F9D" w:rsidRPr="007D383E" w:rsidRDefault="00285F9D" w:rsidP="00285F9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3FBE5" w14:textId="1BB5C57D" w:rsidR="00285F9D" w:rsidRPr="007D383E" w:rsidRDefault="00285F9D" w:rsidP="00285F9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285F9D">
              <w:rPr>
                <w:rFonts w:cstheme="minorHAnsi"/>
                <w:color w:val="283772"/>
                <w:szCs w:val="24"/>
              </w:rPr>
              <w:t>19 140</w:t>
            </w:r>
          </w:p>
        </w:tc>
      </w:tr>
    </w:tbl>
    <w:p w14:paraId="49135C63" w14:textId="598A04F0" w:rsidR="00E85922" w:rsidRPr="007D383E" w:rsidRDefault="00E85922">
      <w:pPr>
        <w:pStyle w:val="Legenda"/>
        <w:rPr>
          <w:noProof/>
        </w:rPr>
      </w:pPr>
      <w:bookmarkStart w:id="56" w:name="_Toc20053854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12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RPKM (mln) – </w:t>
      </w:r>
      <w:r w:rsidR="00285F9D">
        <w:rPr>
          <w:noProof/>
        </w:rPr>
        <w:t>kwartał</w:t>
      </w:r>
      <w:bookmarkEnd w:id="56"/>
    </w:p>
    <w:p w14:paraId="06CC2DCA" w14:textId="77777777" w:rsidR="00EB1713" w:rsidRPr="007D383E" w:rsidRDefault="009078D6" w:rsidP="00EB171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64AD52B8" wp14:editId="539281CA">
            <wp:extent cx="4680000" cy="2340000"/>
            <wp:effectExtent l="0" t="0" r="6350" b="3175"/>
            <wp:docPr id="2" name="Wykres 2" descr="Wykres przedstawia porównanie dynamiki wskaźnika RPKM w Polsce, Europie i na Świecie według danych ULC i IATA w wybranym okresie danego roku w porównaniu z analogicznym okresem roku poprzedniego. Dane przedstawione w Tabeli 12.2 poniżej." title="Wykres 12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2056078" w14:textId="3D5AEB47" w:rsidR="00EB1713" w:rsidRPr="007D383E" w:rsidRDefault="00EB1713" w:rsidP="00EB1713">
      <w:pPr>
        <w:pStyle w:val="Legenda"/>
      </w:pPr>
      <w:bookmarkStart w:id="57" w:name="_Toc20053493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12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RPKM porównanie z IATA – wykres przedstawia porównanie dynamiki wskaźnika RPKM w Polsce, Europie i na Świecie według danych ULC i IATA w </w:t>
      </w:r>
      <w:r w:rsidR="00DA3F3E">
        <w:rPr>
          <w:noProof/>
        </w:rPr>
        <w:t xml:space="preserve">pierwszym kwartale </w:t>
      </w:r>
      <w:r w:rsidR="00B530FA" w:rsidRPr="007D383E">
        <w:rPr>
          <w:noProof/>
        </w:rPr>
        <w:t>202</w:t>
      </w:r>
      <w:r w:rsidR="00DA3F3E">
        <w:rPr>
          <w:noProof/>
        </w:rPr>
        <w:t>5</w:t>
      </w:r>
      <w:r w:rsidR="00EA13B7" w:rsidRPr="007D383E">
        <w:rPr>
          <w:noProof/>
        </w:rPr>
        <w:t xml:space="preserve"> roku w </w:t>
      </w:r>
      <w:r w:rsidR="00B530FA" w:rsidRPr="007D383E">
        <w:rPr>
          <w:noProof/>
        </w:rPr>
        <w:t>porównaniu z </w:t>
      </w:r>
      <w:r w:rsidR="00DA3F3E">
        <w:rPr>
          <w:noProof/>
        </w:rPr>
        <w:t>analogicznym okresem 2024</w:t>
      </w:r>
      <w:r w:rsidRPr="007D383E">
        <w:rPr>
          <w:noProof/>
        </w:rPr>
        <w:t xml:space="preserve"> roku.</w:t>
      </w:r>
      <w:bookmarkEnd w:id="5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2 RPKM porównanie z IATA"/>
        <w:tblDescription w:val="Tabela przedstawia porównanie dynamiki wskaźnika RPKM w Polsce, Europie i na Świecie według danych ULC i IATA w wybranym okresie danego roku w porównaniu z analogicznym okresem roku poprzedniego. "/>
      </w:tblPr>
      <w:tblGrid>
        <w:gridCol w:w="1590"/>
        <w:gridCol w:w="1590"/>
      </w:tblGrid>
      <w:tr w:rsidR="002E4EA4" w:rsidRPr="007D383E" w14:paraId="33B0CC71" w14:textId="77777777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2BD61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7E74A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A3F3E" w:rsidRPr="007D383E" w14:paraId="67662148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FCB44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5BCBB" w14:textId="34F99589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rFonts w:cstheme="minorHAnsi"/>
                <w:color w:val="283772"/>
                <w:szCs w:val="24"/>
              </w:rPr>
              <w:t>16,1%</w:t>
            </w:r>
          </w:p>
        </w:tc>
      </w:tr>
      <w:tr w:rsidR="00DA3F3E" w:rsidRPr="007D383E" w14:paraId="3BD4EA15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7AEB5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630A5" w14:textId="715F23CE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rFonts w:cstheme="minorHAnsi"/>
                <w:color w:val="283772"/>
                <w:szCs w:val="24"/>
              </w:rPr>
              <w:t>5,5%</w:t>
            </w:r>
          </w:p>
        </w:tc>
      </w:tr>
      <w:tr w:rsidR="00DA3F3E" w:rsidRPr="007D383E" w14:paraId="7EE3191B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4EDAF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F4C69" w14:textId="5A0C561A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rFonts w:cstheme="minorHAnsi"/>
                <w:color w:val="283772"/>
                <w:szCs w:val="24"/>
              </w:rPr>
              <w:t>5,3%</w:t>
            </w:r>
          </w:p>
        </w:tc>
      </w:tr>
    </w:tbl>
    <w:p w14:paraId="69470D27" w14:textId="2196A17A" w:rsidR="00D00683" w:rsidRPr="007D383E" w:rsidRDefault="00D00683" w:rsidP="0005434A">
      <w:pPr>
        <w:pStyle w:val="Legenda"/>
        <w:rPr>
          <w:noProof/>
        </w:rPr>
      </w:pPr>
      <w:bookmarkStart w:id="58" w:name="_Toc20053854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12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RPKM porównanie z IATA</w:t>
      </w:r>
      <w:bookmarkEnd w:id="58"/>
    </w:p>
    <w:p w14:paraId="5EDD910C" w14:textId="77777777" w:rsidR="002E4EA4" w:rsidRPr="007D383E" w:rsidRDefault="00574DE0" w:rsidP="005A6434">
      <w:pPr>
        <w:pStyle w:val="Nagwek1"/>
      </w:pPr>
      <w:bookmarkStart w:id="59" w:name="_Toc200533904"/>
      <w:r w:rsidRPr="007D383E">
        <w:t>Porównanie z danymi IATA – ASKM</w:t>
      </w:r>
      <w:bookmarkEnd w:id="59"/>
    </w:p>
    <w:p w14:paraId="75126328" w14:textId="276E94DC" w:rsidR="002E4EA4" w:rsidRDefault="00437EE7" w:rsidP="00EF21A5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 w:rsidR="00C24C04">
        <w:rPr>
          <w:rFonts w:cstheme="minorHAnsi"/>
          <w:szCs w:val="24"/>
        </w:rPr>
        <w:t xml:space="preserve">pierwszym kwartale </w:t>
      </w:r>
      <w:r w:rsidRPr="007D383E">
        <w:rPr>
          <w:rFonts w:cstheme="minorHAnsi"/>
          <w:szCs w:val="24"/>
        </w:rPr>
        <w:t>202</w:t>
      </w:r>
      <w:r w:rsidR="00C24C04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roku </w:t>
      </w:r>
      <w:r w:rsidR="004B322D">
        <w:rPr>
          <w:rFonts w:cstheme="minorHAnsi"/>
          <w:szCs w:val="24"/>
        </w:rPr>
        <w:t xml:space="preserve">dynamika </w:t>
      </w:r>
      <w:r w:rsidRPr="007D383E">
        <w:rPr>
          <w:rFonts w:cstheme="minorHAnsi"/>
          <w:szCs w:val="24"/>
        </w:rPr>
        <w:t xml:space="preserve">ASKM </w:t>
      </w:r>
      <w:r w:rsidR="004B322D">
        <w:rPr>
          <w:rFonts w:cstheme="minorHAnsi"/>
          <w:szCs w:val="24"/>
        </w:rPr>
        <w:t>w Polsce wyni</w:t>
      </w:r>
      <w:r w:rsidR="00254733">
        <w:rPr>
          <w:rFonts w:cstheme="minorHAnsi"/>
          <w:szCs w:val="24"/>
        </w:rPr>
        <w:t>o</w:t>
      </w:r>
      <w:r w:rsidR="00C24C04">
        <w:rPr>
          <w:rFonts w:cstheme="minorHAnsi"/>
          <w:szCs w:val="24"/>
        </w:rPr>
        <w:t>sła 15</w:t>
      </w:r>
      <w:r w:rsidR="004B322D">
        <w:rPr>
          <w:rFonts w:cstheme="minorHAnsi"/>
          <w:szCs w:val="24"/>
        </w:rPr>
        <w:t xml:space="preserve">% </w:t>
      </w:r>
      <w:r w:rsidRPr="007D383E">
        <w:rPr>
          <w:rFonts w:cstheme="minorHAnsi"/>
          <w:szCs w:val="24"/>
        </w:rPr>
        <w:t>względem</w:t>
      </w:r>
      <w:r w:rsidR="00C24C04">
        <w:rPr>
          <w:rFonts w:cstheme="minorHAnsi"/>
          <w:szCs w:val="24"/>
        </w:rPr>
        <w:t xml:space="preserve"> analogicznego okresu</w:t>
      </w:r>
      <w:r w:rsidRPr="007D383E">
        <w:rPr>
          <w:rFonts w:cstheme="minorHAnsi"/>
          <w:szCs w:val="24"/>
        </w:rPr>
        <w:t xml:space="preserve"> 202</w:t>
      </w:r>
      <w:r w:rsidR="00C24C04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</w:t>
      </w:r>
      <w:r w:rsidR="00254733">
        <w:rPr>
          <w:rFonts w:cstheme="minorHAnsi"/>
          <w:szCs w:val="24"/>
        </w:rPr>
        <w:t>.</w:t>
      </w:r>
      <w:r w:rsidR="004B322D">
        <w:rPr>
          <w:rFonts w:cstheme="minorHAnsi"/>
          <w:szCs w:val="24"/>
        </w:rPr>
        <w:t xml:space="preserve"> </w:t>
      </w:r>
      <w:r w:rsidR="00254733">
        <w:rPr>
          <w:rFonts w:cstheme="minorHAnsi"/>
          <w:szCs w:val="24"/>
        </w:rPr>
        <w:t xml:space="preserve">Był </w:t>
      </w:r>
      <w:r w:rsidR="004B322D">
        <w:rPr>
          <w:rFonts w:cstheme="minorHAnsi"/>
          <w:szCs w:val="24"/>
        </w:rPr>
        <w:t xml:space="preserve">to </w:t>
      </w:r>
      <w:r w:rsidR="00C24C04">
        <w:rPr>
          <w:rFonts w:cstheme="minorHAnsi"/>
          <w:szCs w:val="24"/>
        </w:rPr>
        <w:t>rezultat</w:t>
      </w:r>
      <w:r w:rsidRPr="007D383E">
        <w:rPr>
          <w:rFonts w:cstheme="minorHAnsi"/>
          <w:szCs w:val="24"/>
        </w:rPr>
        <w:t xml:space="preserve"> wyższy niż wyniki Europy o </w:t>
      </w:r>
      <w:r w:rsidR="00C24C04">
        <w:rPr>
          <w:rFonts w:cstheme="minorHAnsi"/>
          <w:szCs w:val="24"/>
        </w:rPr>
        <w:t>9,7</w:t>
      </w:r>
      <w:r w:rsidRPr="007D383E">
        <w:rPr>
          <w:rFonts w:cstheme="minorHAnsi"/>
          <w:szCs w:val="24"/>
        </w:rPr>
        <w:t xml:space="preserve"> </w:t>
      </w:r>
      <w:r w:rsidR="00C24C04">
        <w:rPr>
          <w:rFonts w:cstheme="minorHAnsi"/>
          <w:szCs w:val="24"/>
        </w:rPr>
        <w:t>punktu procentowego</w:t>
      </w:r>
      <w:r w:rsidR="007D383E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i świata o </w:t>
      </w:r>
      <w:r w:rsidR="00C24C04">
        <w:rPr>
          <w:rFonts w:cstheme="minorHAnsi"/>
          <w:szCs w:val="24"/>
        </w:rPr>
        <w:t>10,1</w:t>
      </w:r>
      <w:r w:rsidRPr="007D383E">
        <w:rPr>
          <w:rFonts w:cstheme="minorHAnsi"/>
          <w:szCs w:val="24"/>
        </w:rPr>
        <w:t xml:space="preserve"> </w:t>
      </w:r>
      <w:r w:rsidR="00C24C04">
        <w:rPr>
          <w:rFonts w:cstheme="minorHAnsi"/>
          <w:szCs w:val="24"/>
        </w:rPr>
        <w:t>punktu procentowego</w:t>
      </w:r>
      <w:r w:rsidRPr="007D383E">
        <w:rPr>
          <w:rStyle w:val="Odwoanieprzypisudolnego"/>
          <w:rFonts w:cstheme="minorHAnsi"/>
          <w:szCs w:val="24"/>
        </w:rPr>
        <w:footnoteReference w:id="8"/>
      </w:r>
      <w:r w:rsidR="004B322D">
        <w:rPr>
          <w:rFonts w:cstheme="minorHAnsi"/>
          <w:szCs w:val="24"/>
        </w:rPr>
        <w:t>.</w:t>
      </w:r>
    </w:p>
    <w:p w14:paraId="2EAB3AE4" w14:textId="77777777" w:rsidR="00DA3F3E" w:rsidRPr="007D383E" w:rsidRDefault="00DA3F3E" w:rsidP="00DA3F3E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65692A1" wp14:editId="368A11A7">
            <wp:extent cx="3600000" cy="1922400"/>
            <wp:effectExtent l="0" t="0" r="635" b="1905"/>
            <wp:docPr id="75" name="Wykres 75" descr="Wykres przedstawia wartości ASKM w danym kwartale z uwzględnieniem analogicznego okresu poprzedniego roku. Dane przedstawione w Tabeli 13.1 poniżej." title="Wykres 13.1 ASKM (mln)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9FF025C" w14:textId="2502C3E6" w:rsidR="00DA3F3E" w:rsidRPr="007D383E" w:rsidRDefault="00DA3F3E" w:rsidP="00DA3F3E">
      <w:pPr>
        <w:pStyle w:val="Legenda"/>
      </w:pPr>
      <w:bookmarkStart w:id="60" w:name="_Toc200534938"/>
      <w:r w:rsidRPr="007D383E">
        <w:rPr>
          <w:b/>
        </w:rPr>
        <w:t xml:space="preserve">Wykres </w:t>
      </w:r>
      <w:r w:rsidR="00A50ED3" w:rsidRPr="007D383E">
        <w:rPr>
          <w:b/>
        </w:rPr>
        <w:fldChar w:fldCharType="begin"/>
      </w:r>
      <w:r w:rsidR="00A50ED3" w:rsidRPr="007D383E">
        <w:rPr>
          <w:b/>
        </w:rPr>
        <w:instrText xml:space="preserve"> STYLEREF 1 \s </w:instrText>
      </w:r>
      <w:r w:rsidR="00A50ED3" w:rsidRPr="007D383E">
        <w:rPr>
          <w:b/>
        </w:rPr>
        <w:fldChar w:fldCharType="separate"/>
      </w:r>
      <w:r w:rsidR="00A50ED3">
        <w:rPr>
          <w:b/>
          <w:noProof/>
        </w:rPr>
        <w:t>13</w:t>
      </w:r>
      <w:r w:rsidR="00A50ED3" w:rsidRPr="007D383E">
        <w:rPr>
          <w:b/>
        </w:rPr>
        <w:fldChar w:fldCharType="end"/>
      </w:r>
      <w:r w:rsidR="00A50ED3" w:rsidRPr="007D383E">
        <w:rPr>
          <w:b/>
        </w:rPr>
        <w:t>.</w:t>
      </w:r>
      <w:r w:rsidR="00A50ED3" w:rsidRPr="007D383E">
        <w:rPr>
          <w:b/>
        </w:rPr>
        <w:fldChar w:fldCharType="begin"/>
      </w:r>
      <w:r w:rsidR="00A50ED3" w:rsidRPr="007D383E">
        <w:rPr>
          <w:b/>
        </w:rPr>
        <w:instrText xml:space="preserve"> SEQ Wykres \* ARABIC \s 1 </w:instrText>
      </w:r>
      <w:r w:rsidR="00A50ED3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A50ED3" w:rsidRPr="007D383E">
        <w:rPr>
          <w:b/>
        </w:rPr>
        <w:fldChar w:fldCharType="end"/>
      </w:r>
      <w:r w:rsidRPr="007D383E">
        <w:rPr>
          <w:noProof/>
        </w:rPr>
        <w:t xml:space="preserve"> ASKM (mln) – kwartał – wykres przedstawia wartości ASKM w </w:t>
      </w:r>
      <w:r>
        <w:rPr>
          <w:noProof/>
        </w:rPr>
        <w:t>pierwszym kwartale 2025</w:t>
      </w:r>
      <w:r w:rsidRPr="007D383E">
        <w:rPr>
          <w:noProof/>
        </w:rPr>
        <w:t xml:space="preserve"> roku z uwzględnieniem analogicznego </w:t>
      </w:r>
      <w:r>
        <w:rPr>
          <w:noProof/>
        </w:rPr>
        <w:t>okresu 2024</w:t>
      </w:r>
      <w:r w:rsidRPr="007D383E">
        <w:rPr>
          <w:noProof/>
        </w:rPr>
        <w:t xml:space="preserve"> roku.</w:t>
      </w:r>
      <w:bookmarkEnd w:id="60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1 ASKM (mln) – kwartał"/>
        <w:tblDescription w:val="Tabela przedstawia wartości ASKM w danym kwartale z uwzględnieniem analogicznego okresu poprzedniego roku. "/>
      </w:tblPr>
      <w:tblGrid>
        <w:gridCol w:w="1590"/>
        <w:gridCol w:w="1590"/>
      </w:tblGrid>
      <w:tr w:rsidR="00DA3F3E" w:rsidRPr="007D383E" w14:paraId="37093DDD" w14:textId="77777777" w:rsidTr="00E56D15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A72D7" w14:textId="77777777" w:rsidR="00DA3F3E" w:rsidRPr="007D383E" w:rsidRDefault="00DA3F3E" w:rsidP="00E56D15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47FD6" w14:textId="77777777" w:rsidR="00DA3F3E" w:rsidRPr="007D383E" w:rsidRDefault="00DA3F3E" w:rsidP="00E56D15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A3F3E" w:rsidRPr="007D383E" w14:paraId="7B347062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70A58" w14:textId="4DAD14FB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4C19C" w14:textId="6E7D6009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rFonts w:cstheme="minorHAnsi"/>
                <w:color w:val="283772"/>
                <w:szCs w:val="24"/>
              </w:rPr>
              <w:t>25 684</w:t>
            </w:r>
          </w:p>
        </w:tc>
      </w:tr>
      <w:tr w:rsidR="00DA3F3E" w:rsidRPr="007D383E" w14:paraId="2E880C38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86354" w14:textId="136E7CC8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74D95" w14:textId="0068ADE2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rFonts w:cstheme="minorHAnsi"/>
                <w:color w:val="283772"/>
                <w:szCs w:val="24"/>
              </w:rPr>
              <w:t>22 333</w:t>
            </w:r>
          </w:p>
        </w:tc>
      </w:tr>
    </w:tbl>
    <w:p w14:paraId="344997F0" w14:textId="731A2CC8" w:rsidR="00DA3F3E" w:rsidRPr="007D383E" w:rsidRDefault="00DA3F3E" w:rsidP="00DA3F3E">
      <w:pPr>
        <w:pStyle w:val="Legenda"/>
        <w:rPr>
          <w:noProof/>
        </w:rPr>
      </w:pPr>
      <w:bookmarkStart w:id="61" w:name="_Toc200538544"/>
      <w:r w:rsidRPr="007D383E">
        <w:rPr>
          <w:b/>
        </w:rPr>
        <w:t xml:space="preserve">Tabela </w:t>
      </w:r>
      <w:r w:rsidR="00A50ED3" w:rsidRPr="007D383E">
        <w:rPr>
          <w:b/>
        </w:rPr>
        <w:fldChar w:fldCharType="begin"/>
      </w:r>
      <w:r w:rsidR="00A50ED3" w:rsidRPr="007D383E">
        <w:rPr>
          <w:b/>
        </w:rPr>
        <w:instrText xml:space="preserve"> STYLEREF 1 \s </w:instrText>
      </w:r>
      <w:r w:rsidR="00A50ED3" w:rsidRPr="007D383E">
        <w:rPr>
          <w:b/>
        </w:rPr>
        <w:fldChar w:fldCharType="separate"/>
      </w:r>
      <w:r w:rsidR="00A50ED3">
        <w:rPr>
          <w:b/>
          <w:noProof/>
        </w:rPr>
        <w:t>13</w:t>
      </w:r>
      <w:r w:rsidR="00A50ED3" w:rsidRPr="007D383E">
        <w:rPr>
          <w:b/>
        </w:rPr>
        <w:fldChar w:fldCharType="end"/>
      </w:r>
      <w:r w:rsidR="00A50ED3" w:rsidRPr="007D383E">
        <w:rPr>
          <w:b/>
        </w:rPr>
        <w:t>.</w:t>
      </w:r>
      <w:r w:rsidR="00A50ED3" w:rsidRPr="007D383E">
        <w:rPr>
          <w:b/>
        </w:rPr>
        <w:fldChar w:fldCharType="begin"/>
      </w:r>
      <w:r w:rsidR="00A50ED3" w:rsidRPr="007D383E">
        <w:rPr>
          <w:b/>
        </w:rPr>
        <w:instrText xml:space="preserve"> SEQ Tabela \* ARABIC \s 1 </w:instrText>
      </w:r>
      <w:r w:rsidR="00A50ED3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A50ED3" w:rsidRPr="007D383E">
        <w:rPr>
          <w:b/>
        </w:rPr>
        <w:fldChar w:fldCharType="end"/>
      </w:r>
      <w:r w:rsidRPr="007D383E">
        <w:rPr>
          <w:noProof/>
        </w:rPr>
        <w:t xml:space="preserve"> ASKM (mln) – kwartał</w:t>
      </w:r>
      <w:bookmarkEnd w:id="61"/>
    </w:p>
    <w:p w14:paraId="639DA70F" w14:textId="77777777" w:rsidR="00EB1713" w:rsidRPr="007D383E" w:rsidRDefault="00EE6BF3" w:rsidP="00EB171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A7C7517" wp14:editId="69D40364">
            <wp:extent cx="4680000" cy="2340000"/>
            <wp:effectExtent l="0" t="0" r="6350" b="3175"/>
            <wp:docPr id="3" name="Wykres 3" descr="Wykres przedstawia porównanie dynamiki wskaźnika ASKM w Polsce, Europie i na Świecie według danych ULC i IATA w wybranym okresie danego roku w porównaniu z analogicznym okresem roku poprzedniego. Dane przedstawione w Tabeli 13.2 poniżej." title="Wykres 13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21EDE24" w14:textId="4803287C" w:rsidR="00EB1713" w:rsidRPr="007D383E" w:rsidRDefault="00EB1713" w:rsidP="00EB1713">
      <w:pPr>
        <w:pStyle w:val="Legenda"/>
      </w:pPr>
      <w:bookmarkStart w:id="62" w:name="_Toc20053493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13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ASKM porównanie z IATA – wykres przedstawia porównanie dynamiki wskaźnika ASKM w Polsce, Europie i na Świecie według danych ULC i IATA w </w:t>
      </w:r>
      <w:r w:rsidR="00DA3F3E">
        <w:rPr>
          <w:noProof/>
        </w:rPr>
        <w:t xml:space="preserve">pierwszym kwartale </w:t>
      </w:r>
      <w:r w:rsidR="00B530FA" w:rsidRPr="007D383E">
        <w:rPr>
          <w:noProof/>
        </w:rPr>
        <w:t>202</w:t>
      </w:r>
      <w:r w:rsidR="00DA3F3E">
        <w:rPr>
          <w:noProof/>
        </w:rPr>
        <w:t>5</w:t>
      </w:r>
      <w:r w:rsidR="00EA13B7" w:rsidRPr="007D383E">
        <w:rPr>
          <w:noProof/>
        </w:rPr>
        <w:t xml:space="preserve"> roku w </w:t>
      </w:r>
      <w:r w:rsidR="00B530FA" w:rsidRPr="007D383E">
        <w:rPr>
          <w:noProof/>
        </w:rPr>
        <w:t>porównaniu z </w:t>
      </w:r>
      <w:r w:rsidR="00EE6BF3" w:rsidRPr="007D383E">
        <w:rPr>
          <w:noProof/>
        </w:rPr>
        <w:t>analogicznym okresem 202</w:t>
      </w:r>
      <w:r w:rsidR="00DA3F3E">
        <w:rPr>
          <w:noProof/>
        </w:rPr>
        <w:t>4</w:t>
      </w:r>
      <w:r w:rsidRPr="007D383E">
        <w:rPr>
          <w:noProof/>
        </w:rPr>
        <w:t xml:space="preserve"> roku.</w:t>
      </w:r>
      <w:bookmarkEnd w:id="6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ASKM porównanie z IATA"/>
        <w:tblDescription w:val="Tabela przedstawia porównanie dynamiki wskaźnika ASKM w Polsce, Europie i na Świecie według danych ULC i IATA w wybranym okresie danego roku w porównaniu z analogicznym okresem roku poprzedniego."/>
      </w:tblPr>
      <w:tblGrid>
        <w:gridCol w:w="1590"/>
        <w:gridCol w:w="1590"/>
      </w:tblGrid>
      <w:tr w:rsidR="002E4EA4" w:rsidRPr="007D383E" w14:paraId="0CF6F701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CCFEF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0141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A3F3E" w:rsidRPr="007D383E" w14:paraId="61B948D5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E936A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A303D" w14:textId="6998D5A2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15,0%</w:t>
            </w:r>
          </w:p>
        </w:tc>
      </w:tr>
      <w:tr w:rsidR="00DA3F3E" w:rsidRPr="007D383E" w14:paraId="62E0FD07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C07D2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4C11A" w14:textId="25EE9A98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5,3%</w:t>
            </w:r>
          </w:p>
        </w:tc>
      </w:tr>
      <w:tr w:rsidR="00DA3F3E" w:rsidRPr="007D383E" w14:paraId="0E1A79CA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7D5AC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D296A" w14:textId="119CF56D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4,9%</w:t>
            </w:r>
          </w:p>
        </w:tc>
      </w:tr>
    </w:tbl>
    <w:p w14:paraId="28BEE94A" w14:textId="4038CEC1" w:rsidR="00EA12F7" w:rsidRPr="007D383E" w:rsidRDefault="00EA12F7">
      <w:pPr>
        <w:pStyle w:val="Legenda"/>
        <w:rPr>
          <w:noProof/>
        </w:rPr>
      </w:pPr>
      <w:bookmarkStart w:id="63" w:name="_Toc20053854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13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ASKM porównanie z IATA</w:t>
      </w:r>
      <w:bookmarkEnd w:id="63"/>
    </w:p>
    <w:p w14:paraId="1AA05120" w14:textId="77777777" w:rsidR="00437EE7" w:rsidRPr="007D383E" w:rsidRDefault="00437EE7" w:rsidP="00437EE7">
      <w:pPr>
        <w:rPr>
          <w:b/>
        </w:rPr>
      </w:pPr>
      <w:r w:rsidRPr="007D383E">
        <w:rPr>
          <w:b/>
        </w:rPr>
        <w:t>RPKM vs. ASKM</w:t>
      </w:r>
    </w:p>
    <w:p w14:paraId="1354FEFC" w14:textId="08018206" w:rsidR="00437EE7" w:rsidRPr="007D383E" w:rsidRDefault="00437EE7" w:rsidP="00437EE7">
      <w:r w:rsidRPr="007D383E">
        <w:t xml:space="preserve">W </w:t>
      </w:r>
      <w:r w:rsidR="00C24C04">
        <w:t>pierwszym kwartale 2025</w:t>
      </w:r>
      <w:r w:rsidRPr="007D383E">
        <w:t xml:space="preserve"> roku dynamika RPKM, w stosunku do </w:t>
      </w:r>
      <w:r w:rsidR="00C24C04">
        <w:t xml:space="preserve">pierwszego kwartału </w:t>
      </w:r>
      <w:r w:rsidRPr="007D383E">
        <w:t>202</w:t>
      </w:r>
      <w:r w:rsidR="00C24C04">
        <w:t>4</w:t>
      </w:r>
      <w:r w:rsidR="005A47C7" w:rsidRPr="005A47C7">
        <w:t xml:space="preserve"> </w:t>
      </w:r>
      <w:r w:rsidR="005A47C7" w:rsidRPr="007D383E">
        <w:t>roku</w:t>
      </w:r>
      <w:r w:rsidRPr="007D383E">
        <w:t xml:space="preserve">, była </w:t>
      </w:r>
      <w:r w:rsidR="005A47C7">
        <w:t>wyższa</w:t>
      </w:r>
      <w:r w:rsidRPr="007D383E">
        <w:t xml:space="preserve"> niż dynamika wzrostu oferowania mierzona wskaźnikiem ASKM o </w:t>
      </w:r>
      <w:r w:rsidR="00C24C04">
        <w:t>1,1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procentowego.</w:t>
      </w:r>
    </w:p>
    <w:p w14:paraId="6C875BBC" w14:textId="77777777" w:rsidR="002E4EA4" w:rsidRPr="007D383E" w:rsidRDefault="00574DE0" w:rsidP="005A6434">
      <w:pPr>
        <w:pStyle w:val="Nagwek1"/>
      </w:pPr>
      <w:bookmarkStart w:id="64" w:name="_Toc200533905"/>
      <w:r w:rsidRPr="007D383E">
        <w:t>Porównanie z danymi IATA – LF</w:t>
      </w:r>
      <w:bookmarkEnd w:id="64"/>
    </w:p>
    <w:p w14:paraId="1FD71B35" w14:textId="5ED6D36D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Współczynnik wypełnienia miejsc LF wyniósł w </w:t>
      </w:r>
      <w:r w:rsidR="00C24C04">
        <w:rPr>
          <w:rFonts w:cstheme="minorHAnsi"/>
          <w:szCs w:val="24"/>
        </w:rPr>
        <w:t xml:space="preserve">pierwszym kwartale </w:t>
      </w:r>
      <w:r w:rsidRPr="007D383E">
        <w:rPr>
          <w:rFonts w:cstheme="minorHAnsi"/>
          <w:szCs w:val="24"/>
        </w:rPr>
        <w:t>202</w:t>
      </w:r>
      <w:r w:rsidR="00C24C04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roku </w:t>
      </w:r>
      <w:r w:rsidR="00C24C04">
        <w:rPr>
          <w:rFonts w:cstheme="minorHAnsi"/>
          <w:szCs w:val="24"/>
        </w:rPr>
        <w:t>86,5</w:t>
      </w:r>
      <w:r w:rsidR="00235511">
        <w:rPr>
          <w:rFonts w:cstheme="minorHAnsi"/>
          <w:szCs w:val="24"/>
        </w:rPr>
        <w:t>% i </w:t>
      </w:r>
      <w:r w:rsidR="00DC26FF">
        <w:rPr>
          <w:rFonts w:cstheme="minorHAnsi"/>
          <w:szCs w:val="24"/>
        </w:rPr>
        <w:t>wzrósł</w:t>
      </w:r>
      <w:r w:rsidRPr="007D383E">
        <w:rPr>
          <w:rFonts w:cstheme="minorHAnsi"/>
          <w:szCs w:val="24"/>
        </w:rPr>
        <w:t xml:space="preserve"> w stosunku do </w:t>
      </w:r>
      <w:r w:rsidR="00C24C04">
        <w:rPr>
          <w:rFonts w:cstheme="minorHAnsi"/>
          <w:szCs w:val="24"/>
        </w:rPr>
        <w:t xml:space="preserve">analogicznego okresu </w:t>
      </w:r>
      <w:r w:rsidRPr="007D383E">
        <w:rPr>
          <w:rFonts w:cstheme="minorHAnsi"/>
          <w:szCs w:val="24"/>
        </w:rPr>
        <w:t>202</w:t>
      </w:r>
      <w:r w:rsidR="00C24C04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roku</w:t>
      </w:r>
      <w:r w:rsidR="00DC26FF">
        <w:rPr>
          <w:rFonts w:cstheme="minorHAnsi"/>
          <w:szCs w:val="24"/>
        </w:rPr>
        <w:t xml:space="preserve"> </w:t>
      </w:r>
      <w:r w:rsidR="00235511">
        <w:rPr>
          <w:rFonts w:cstheme="minorHAnsi"/>
          <w:szCs w:val="24"/>
        </w:rPr>
        <w:t>o </w:t>
      </w:r>
      <w:r w:rsidR="00C24C04">
        <w:rPr>
          <w:rFonts w:cstheme="minorHAnsi"/>
          <w:szCs w:val="24"/>
        </w:rPr>
        <w:t>0,8</w:t>
      </w:r>
      <w:r w:rsidR="00694067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. Jednocześnie LF na rynku polskim był </w:t>
      </w:r>
      <w:r w:rsidR="00C24C04">
        <w:rPr>
          <w:rFonts w:cstheme="minorHAnsi"/>
          <w:szCs w:val="24"/>
        </w:rPr>
        <w:t>nieznacznie wyższy</w:t>
      </w:r>
      <w:r w:rsidR="00A332A6">
        <w:rPr>
          <w:rFonts w:cstheme="minorHAnsi"/>
          <w:szCs w:val="24"/>
        </w:rPr>
        <w:t xml:space="preserve">, niż na rynku europejskim </w:t>
      </w:r>
      <w:r w:rsidR="00C24C04">
        <w:rPr>
          <w:rFonts w:cstheme="minorHAnsi"/>
          <w:szCs w:val="24"/>
        </w:rPr>
        <w:t>(</w:t>
      </w:r>
      <w:r w:rsidR="00A332A6">
        <w:rPr>
          <w:rFonts w:cstheme="minorHAnsi"/>
          <w:szCs w:val="24"/>
        </w:rPr>
        <w:t>o </w:t>
      </w:r>
      <w:r w:rsidRPr="007D383E">
        <w:rPr>
          <w:rFonts w:cstheme="minorHAnsi"/>
          <w:szCs w:val="24"/>
        </w:rPr>
        <w:t>0,</w:t>
      </w:r>
      <w:r w:rsidR="00C24C04">
        <w:rPr>
          <w:rFonts w:cstheme="minorHAnsi"/>
          <w:szCs w:val="24"/>
        </w:rPr>
        <w:t>7</w:t>
      </w:r>
      <w:r w:rsidR="00A332A6">
        <w:rPr>
          <w:rFonts w:cstheme="minorHAnsi"/>
          <w:szCs w:val="24"/>
        </w:rPr>
        <w:t> </w:t>
      </w:r>
      <w:r w:rsidR="00E01E91">
        <w:rPr>
          <w:rFonts w:cstheme="minorHAnsi"/>
          <w:szCs w:val="24"/>
        </w:rPr>
        <w:t>punktu procentowego</w:t>
      </w:r>
      <w:r w:rsidR="00C24C04">
        <w:rPr>
          <w:rFonts w:cstheme="minorHAnsi"/>
          <w:szCs w:val="24"/>
        </w:rPr>
        <w:t>)</w:t>
      </w:r>
      <w:r w:rsidR="00E01E91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i o </w:t>
      </w:r>
      <w:r w:rsidR="00CC7FBD">
        <w:rPr>
          <w:rFonts w:cstheme="minorHAnsi"/>
          <w:szCs w:val="24"/>
        </w:rPr>
        <w:t>0,</w:t>
      </w:r>
      <w:r w:rsidR="00C24C04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</w:t>
      </w:r>
      <w:r w:rsidR="00C24C04">
        <w:rPr>
          <w:rFonts w:cstheme="minorHAnsi"/>
          <w:szCs w:val="24"/>
        </w:rPr>
        <w:t>wyższy</w:t>
      </w:r>
      <w:r w:rsidRPr="007D383E">
        <w:rPr>
          <w:rFonts w:cstheme="minorHAnsi"/>
          <w:szCs w:val="24"/>
        </w:rPr>
        <w:t xml:space="preserve"> niż na rynku światowym</w:t>
      </w:r>
      <w:r w:rsidRPr="007D383E">
        <w:rPr>
          <w:rStyle w:val="Odwoanieprzypisudolnego"/>
          <w:rFonts w:cstheme="minorHAnsi"/>
          <w:szCs w:val="24"/>
        </w:rPr>
        <w:footnoteReference w:id="9"/>
      </w:r>
      <w:r w:rsidRPr="007D383E">
        <w:rPr>
          <w:rFonts w:cstheme="minorHAnsi"/>
          <w:szCs w:val="24"/>
        </w:rPr>
        <w:t xml:space="preserve"> (porównując </w:t>
      </w:r>
      <w:r w:rsidR="00C24C04">
        <w:rPr>
          <w:rFonts w:cstheme="minorHAnsi"/>
          <w:szCs w:val="24"/>
        </w:rPr>
        <w:t>pierwsze kwartały</w:t>
      </w:r>
      <w:r w:rsidR="00CC7FBD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202</w:t>
      </w:r>
      <w:r w:rsidR="00C24C04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i 202</w:t>
      </w:r>
      <w:r w:rsidR="00C24C04">
        <w:rPr>
          <w:rFonts w:cstheme="minorHAnsi"/>
          <w:szCs w:val="24"/>
        </w:rPr>
        <w:t>4 roku</w:t>
      </w:r>
      <w:r w:rsidRPr="007D383E">
        <w:rPr>
          <w:rFonts w:cstheme="minorHAnsi"/>
          <w:szCs w:val="24"/>
        </w:rPr>
        <w:t xml:space="preserve">). </w:t>
      </w:r>
    </w:p>
    <w:p w14:paraId="1A3B86EA" w14:textId="593DCFC1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 xml:space="preserve">Średnia liczba osób przypadająca na rejs wyniosła w </w:t>
      </w:r>
      <w:r w:rsidR="00C24C04">
        <w:rPr>
          <w:rFonts w:cstheme="minorHAnsi"/>
          <w:szCs w:val="24"/>
        </w:rPr>
        <w:t xml:space="preserve">pierwszym kwartale </w:t>
      </w:r>
      <w:r w:rsidR="00C24C04" w:rsidRPr="007D383E">
        <w:rPr>
          <w:rFonts w:cstheme="minorHAnsi"/>
          <w:szCs w:val="24"/>
        </w:rPr>
        <w:t>202</w:t>
      </w:r>
      <w:r w:rsidR="00C24C04">
        <w:rPr>
          <w:rFonts w:cstheme="minorHAnsi"/>
          <w:szCs w:val="24"/>
        </w:rPr>
        <w:t>5</w:t>
      </w:r>
      <w:r w:rsidR="00C24C0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roku </w:t>
      </w:r>
      <w:r w:rsidR="00C24C04">
        <w:rPr>
          <w:rFonts w:cstheme="minorHAnsi"/>
          <w:szCs w:val="24"/>
        </w:rPr>
        <w:t>135</w:t>
      </w:r>
      <w:r w:rsidR="00E061A9">
        <w:rPr>
          <w:rFonts w:cstheme="minorHAnsi"/>
          <w:szCs w:val="24"/>
        </w:rPr>
        <w:t> </w:t>
      </w:r>
      <w:r w:rsidR="00E01E91">
        <w:rPr>
          <w:rFonts w:cstheme="minorHAnsi"/>
          <w:szCs w:val="24"/>
        </w:rPr>
        <w:t>pasażerów</w:t>
      </w:r>
      <w:r w:rsidR="00235511">
        <w:rPr>
          <w:rFonts w:cstheme="minorHAnsi"/>
          <w:szCs w:val="24"/>
        </w:rPr>
        <w:t xml:space="preserve"> i </w:t>
      </w:r>
      <w:r w:rsidRPr="007D383E">
        <w:rPr>
          <w:rFonts w:cstheme="minorHAnsi"/>
          <w:szCs w:val="24"/>
        </w:rPr>
        <w:t>wzrosła o </w:t>
      </w:r>
      <w:r w:rsidR="00C24C04">
        <w:rPr>
          <w:rFonts w:cstheme="minorHAnsi"/>
          <w:szCs w:val="24"/>
        </w:rPr>
        <w:t>4</w:t>
      </w:r>
      <w:r w:rsidR="00A332A6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miejsc</w:t>
      </w:r>
      <w:r w:rsidR="00C24C04"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w porównaniu z </w:t>
      </w:r>
      <w:r w:rsidR="00C24C04">
        <w:rPr>
          <w:rFonts w:cstheme="minorHAnsi"/>
          <w:szCs w:val="24"/>
        </w:rPr>
        <w:t xml:space="preserve">tym samym okresem </w:t>
      </w:r>
      <w:r w:rsidRPr="007D383E">
        <w:rPr>
          <w:rFonts w:cstheme="minorHAnsi"/>
          <w:szCs w:val="24"/>
        </w:rPr>
        <w:t>202</w:t>
      </w:r>
      <w:r w:rsidR="00C24C04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</w:t>
      </w:r>
      <w:r w:rsidR="00CC7FBD">
        <w:rPr>
          <w:rFonts w:cstheme="minorHAnsi"/>
          <w:szCs w:val="24"/>
        </w:rPr>
        <w:t>rok</w:t>
      </w:r>
      <w:r w:rsidR="00C24C04">
        <w:rPr>
          <w:rFonts w:cstheme="minorHAnsi"/>
          <w:szCs w:val="24"/>
        </w:rPr>
        <w:t>u</w:t>
      </w:r>
      <w:r w:rsidRPr="007D383E">
        <w:rPr>
          <w:rFonts w:cstheme="minorHAnsi"/>
          <w:szCs w:val="24"/>
        </w:rPr>
        <w:t>.</w:t>
      </w:r>
    </w:p>
    <w:p w14:paraId="7398CFFA" w14:textId="77777777" w:rsidR="00DA3F3E" w:rsidRPr="007D383E" w:rsidRDefault="00DA3F3E" w:rsidP="00DA3F3E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17DD024F" wp14:editId="0592F75C">
            <wp:extent cx="3600000" cy="1922400"/>
            <wp:effectExtent l="0" t="0" r="635" b="1905"/>
            <wp:docPr id="78" name="Wykres 78" descr="Wykres przedstawia wartości LF w danym kwartale z uwzględnieniem analogicznego okresu poprzedniego roku. Dane przedstawione w Tabeli 14.1 poniżej." title="Wykres 14.1 LF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86F9618" w14:textId="3400AAA4" w:rsidR="00DA3F3E" w:rsidRPr="007D383E" w:rsidRDefault="00DA3F3E" w:rsidP="00DA3F3E">
      <w:pPr>
        <w:pStyle w:val="Legenda"/>
      </w:pPr>
      <w:bookmarkStart w:id="65" w:name="_Toc200534940"/>
      <w:r w:rsidRPr="007D383E">
        <w:rPr>
          <w:b/>
        </w:rPr>
        <w:t xml:space="preserve">Wykres 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STYLEREF 1 \s </w:instrText>
      </w:r>
      <w:r w:rsidRPr="007D383E">
        <w:rPr>
          <w:b/>
        </w:rPr>
        <w:fldChar w:fldCharType="separate"/>
      </w:r>
      <w:r w:rsidR="00A50ED3">
        <w:rPr>
          <w:b/>
          <w:noProof/>
        </w:rPr>
        <w:t>14</w:t>
      </w:r>
      <w:r w:rsidRPr="007D383E">
        <w:rPr>
          <w:b/>
        </w:rPr>
        <w:fldChar w:fldCharType="end"/>
      </w:r>
      <w:r w:rsidRPr="007D383E">
        <w:rPr>
          <w:b/>
        </w:rPr>
        <w:t>.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SEQ Wykres \* ARABIC \s 1 </w:instrText>
      </w:r>
      <w:r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Pr="007D383E">
        <w:rPr>
          <w:b/>
        </w:rPr>
        <w:fldChar w:fldCharType="end"/>
      </w:r>
      <w:r w:rsidRPr="007D383E">
        <w:rPr>
          <w:noProof/>
        </w:rPr>
        <w:t xml:space="preserve"> LF – kwartał – wykres przedstawia wartości LF w </w:t>
      </w:r>
      <w:r>
        <w:rPr>
          <w:noProof/>
        </w:rPr>
        <w:t>pierwszym kwartale 2025</w:t>
      </w:r>
      <w:r w:rsidRPr="007D383E">
        <w:rPr>
          <w:noProof/>
        </w:rPr>
        <w:t xml:space="preserve"> roku z uwzględnieniem analogicznego okresu 202</w:t>
      </w:r>
      <w:r>
        <w:rPr>
          <w:noProof/>
        </w:rPr>
        <w:t>4</w:t>
      </w:r>
      <w:r w:rsidRPr="007D383E">
        <w:rPr>
          <w:noProof/>
        </w:rPr>
        <w:t xml:space="preserve"> roku.</w:t>
      </w:r>
      <w:bookmarkEnd w:id="65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F – kwartał"/>
        <w:tblDescription w:val="Tabela przedstawia wartości LF w danym kwartale z uwzględnieniem analogicznego okresu poprzedniego roku. "/>
      </w:tblPr>
      <w:tblGrid>
        <w:gridCol w:w="1590"/>
        <w:gridCol w:w="1590"/>
      </w:tblGrid>
      <w:tr w:rsidR="00DA3F3E" w:rsidRPr="007D383E" w14:paraId="3947E45E" w14:textId="77777777" w:rsidTr="00E56D15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F340" w14:textId="77777777" w:rsidR="00DA3F3E" w:rsidRPr="007D383E" w:rsidRDefault="00DA3F3E" w:rsidP="00E56D15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9EAF8" w14:textId="77777777" w:rsidR="00DA3F3E" w:rsidRPr="007D383E" w:rsidRDefault="00DA3F3E" w:rsidP="00E56D15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A3F3E" w:rsidRPr="007D383E" w14:paraId="0BA8B66F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0AD70" w14:textId="44C1D1AC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A5983" w14:textId="21DB92E0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86,5%</w:t>
            </w:r>
          </w:p>
        </w:tc>
      </w:tr>
      <w:tr w:rsidR="00DA3F3E" w:rsidRPr="007D383E" w14:paraId="6D888763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B6A82" w14:textId="50EA569C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1E12E" w14:textId="7C6857A2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85,7%</w:t>
            </w:r>
          </w:p>
        </w:tc>
      </w:tr>
    </w:tbl>
    <w:p w14:paraId="29BECD76" w14:textId="7AECF87A" w:rsidR="00DA3F3E" w:rsidRDefault="00DA3F3E" w:rsidP="00DA3F3E">
      <w:pPr>
        <w:pStyle w:val="Legenda"/>
        <w:rPr>
          <w:noProof/>
        </w:rPr>
      </w:pPr>
      <w:bookmarkStart w:id="66" w:name="_Toc200538546"/>
      <w:r w:rsidRPr="007D383E">
        <w:rPr>
          <w:b/>
        </w:rPr>
        <w:t xml:space="preserve">Tabela 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STYLEREF 1 \s </w:instrText>
      </w:r>
      <w:r w:rsidRPr="007D383E">
        <w:rPr>
          <w:b/>
        </w:rPr>
        <w:fldChar w:fldCharType="separate"/>
      </w:r>
      <w:r w:rsidR="00A50ED3">
        <w:rPr>
          <w:b/>
          <w:noProof/>
        </w:rPr>
        <w:t>14</w:t>
      </w:r>
      <w:r w:rsidRPr="007D383E">
        <w:rPr>
          <w:b/>
        </w:rPr>
        <w:fldChar w:fldCharType="end"/>
      </w:r>
      <w:r w:rsidRPr="007D383E">
        <w:rPr>
          <w:b/>
        </w:rPr>
        <w:t>.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SEQ Tabela \* ARABIC \s 1 </w:instrText>
      </w:r>
      <w:r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Pr="007D383E">
        <w:rPr>
          <w:b/>
        </w:rPr>
        <w:fldChar w:fldCharType="end"/>
      </w:r>
      <w:r w:rsidRPr="007D383E">
        <w:rPr>
          <w:noProof/>
        </w:rPr>
        <w:t xml:space="preserve"> LF – kwartał</w:t>
      </w:r>
      <w:bookmarkEnd w:id="66"/>
    </w:p>
    <w:p w14:paraId="09D55B44" w14:textId="25152523" w:rsidR="00F57815" w:rsidRPr="007D383E" w:rsidRDefault="00DA3F3E" w:rsidP="00F5781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73E715A" wp14:editId="72284AB4">
            <wp:extent cx="4680000" cy="2340000"/>
            <wp:effectExtent l="0" t="0" r="6350" b="3175"/>
            <wp:docPr id="7" name="Wykres 7" descr="Wykres przedstawia porównanie zmian punktów procentowych wskaźnika LF w Polsce, Europie i na Świecie według danych ULC i IATA w wybranym okresie danego roku w porównaniu z analogicznym okresem roku poprzedniego. Dane przedstawione w Tabeli 14.2 poniżej." title="Wykres 14.2 LF porówanie z IATA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91AF041" w14:textId="1F1EDA78" w:rsidR="00F57815" w:rsidRPr="007D383E" w:rsidRDefault="00F57815" w:rsidP="00F57815">
      <w:pPr>
        <w:pStyle w:val="Legenda"/>
      </w:pPr>
      <w:bookmarkStart w:id="67" w:name="_Toc20053494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14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LF porównanie z IATA – wykres przedstawia porównanie zmian punktów procentowych wskaźnika LF w Polsce, Europie i na Świecie według danych ULC i IATA w</w:t>
      </w:r>
      <w:r w:rsidR="00DA3F3E">
        <w:rPr>
          <w:noProof/>
        </w:rPr>
        <w:t xml:space="preserve"> pierwszym kwartale</w:t>
      </w:r>
      <w:r w:rsidRPr="007D383E">
        <w:rPr>
          <w:noProof/>
        </w:rPr>
        <w:t xml:space="preserve"> </w:t>
      </w:r>
      <w:r w:rsidR="00C92EC5" w:rsidRPr="007D383E">
        <w:rPr>
          <w:noProof/>
        </w:rPr>
        <w:t>202</w:t>
      </w:r>
      <w:r w:rsidR="00DA3F3E">
        <w:rPr>
          <w:noProof/>
        </w:rPr>
        <w:t>5</w:t>
      </w:r>
      <w:r w:rsidR="00C92EC5" w:rsidRPr="007D383E">
        <w:rPr>
          <w:noProof/>
        </w:rPr>
        <w:t xml:space="preserve"> roku w </w:t>
      </w:r>
      <w:r w:rsidRPr="007D383E">
        <w:rPr>
          <w:noProof/>
        </w:rPr>
        <w:t>porówn</w:t>
      </w:r>
      <w:r w:rsidR="00A332A6">
        <w:rPr>
          <w:noProof/>
        </w:rPr>
        <w:t>aniu z </w:t>
      </w:r>
      <w:r w:rsidR="00DA3F3E">
        <w:rPr>
          <w:noProof/>
        </w:rPr>
        <w:t>analogicznym okresem 2024</w:t>
      </w:r>
      <w:r w:rsidRPr="007D383E">
        <w:rPr>
          <w:noProof/>
        </w:rPr>
        <w:t xml:space="preserve"> roku.</w:t>
      </w:r>
      <w:bookmarkEnd w:id="6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7D383E" w14:paraId="37F9B3BE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FE26C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5041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DA3F3E" w:rsidRPr="007D383E" w14:paraId="0A5F8220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499B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18105" w14:textId="114F11DE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0,8%</w:t>
            </w:r>
          </w:p>
        </w:tc>
      </w:tr>
      <w:tr w:rsidR="00DA3F3E" w:rsidRPr="007D383E" w14:paraId="1A2D6F12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B475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8AB423" w14:textId="747ADFAE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0,1%</w:t>
            </w:r>
          </w:p>
        </w:tc>
      </w:tr>
      <w:tr w:rsidR="00DA3F3E" w:rsidRPr="007D383E" w14:paraId="61C135E0" w14:textId="77777777" w:rsidTr="00E56D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BC89" w14:textId="77777777" w:rsidR="00DA3F3E" w:rsidRPr="007D38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FBA0C" w14:textId="505F5C49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0,4%</w:t>
            </w:r>
          </w:p>
        </w:tc>
      </w:tr>
    </w:tbl>
    <w:p w14:paraId="4C3CB235" w14:textId="32A5C0A5" w:rsidR="0063644F" w:rsidRPr="007D383E" w:rsidRDefault="0063644F" w:rsidP="0089169E">
      <w:pPr>
        <w:pStyle w:val="Legenda"/>
        <w:spacing w:after="480"/>
        <w:rPr>
          <w:noProof/>
        </w:rPr>
      </w:pPr>
      <w:bookmarkStart w:id="68" w:name="_Toc20053854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14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LF porównanie z IATA</w:t>
      </w:r>
      <w:bookmarkEnd w:id="68"/>
    </w:p>
    <w:p w14:paraId="0B85309E" w14:textId="77777777" w:rsidR="002E4EA4" w:rsidRPr="007D383E" w:rsidRDefault="00574DE0" w:rsidP="005A6434">
      <w:pPr>
        <w:pStyle w:val="Nagwek1"/>
      </w:pPr>
      <w:bookmarkStart w:id="69" w:name="_Toc200533906"/>
      <w:r w:rsidRPr="007D383E">
        <w:lastRenderedPageBreak/>
        <w:t>Przewoźnicy – udział w rynku</w:t>
      </w:r>
      <w:bookmarkEnd w:id="69"/>
    </w:p>
    <w:p w14:paraId="0FA6D9CB" w14:textId="27F272B0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 w:rsidR="00481113">
        <w:rPr>
          <w:rFonts w:cstheme="minorHAnsi"/>
          <w:szCs w:val="24"/>
        </w:rPr>
        <w:t xml:space="preserve">pierwszym kwartale </w:t>
      </w:r>
      <w:r w:rsidRPr="007D383E">
        <w:rPr>
          <w:rFonts w:cstheme="minorHAnsi"/>
          <w:szCs w:val="24"/>
        </w:rPr>
        <w:t>202</w:t>
      </w:r>
      <w:r w:rsidR="00481113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roku największy, tj. </w:t>
      </w:r>
      <w:r w:rsidR="00481113">
        <w:rPr>
          <w:rFonts w:cstheme="minorHAnsi"/>
          <w:szCs w:val="24"/>
        </w:rPr>
        <w:t>32,1</w:t>
      </w:r>
      <w:r w:rsidRPr="007D383E">
        <w:rPr>
          <w:rFonts w:cstheme="minorHAnsi"/>
          <w:szCs w:val="24"/>
        </w:rPr>
        <w:t>% udział w rynku pod względem lotów międzynarodowych miał Ryanair. Drugim przewoźnikiem pod względem udziału w rynku był Wizz Air (</w:t>
      </w:r>
      <w:r w:rsidR="00481113">
        <w:rPr>
          <w:rFonts w:cstheme="minorHAnsi"/>
          <w:szCs w:val="24"/>
        </w:rPr>
        <w:t>24,3%), natomiast na trzecim miejscu znajdował się PLL LOT (17,4%).</w:t>
      </w:r>
    </w:p>
    <w:p w14:paraId="0EFE03A9" w14:textId="02F68A42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Największe wzrosty w ruchu międzynarodowym w </w:t>
      </w:r>
      <w:r w:rsidR="00481113">
        <w:rPr>
          <w:rFonts w:cstheme="minorHAnsi"/>
          <w:szCs w:val="24"/>
        </w:rPr>
        <w:t xml:space="preserve">pierwszym kwartale </w:t>
      </w:r>
      <w:r w:rsidR="00481113" w:rsidRPr="007D383E">
        <w:rPr>
          <w:rFonts w:cstheme="minorHAnsi"/>
          <w:szCs w:val="24"/>
        </w:rPr>
        <w:t>202</w:t>
      </w:r>
      <w:r w:rsidR="00481113">
        <w:rPr>
          <w:rFonts w:cstheme="minorHAnsi"/>
          <w:szCs w:val="24"/>
        </w:rPr>
        <w:t>5</w:t>
      </w:r>
      <w:r w:rsidR="00481113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roku </w:t>
      </w:r>
      <w:r w:rsidR="00235511">
        <w:rPr>
          <w:rFonts w:cstheme="minorHAnsi"/>
          <w:szCs w:val="24"/>
        </w:rPr>
        <w:t>w </w:t>
      </w:r>
      <w:r w:rsidR="00481113">
        <w:rPr>
          <w:rFonts w:cstheme="minorHAnsi"/>
          <w:szCs w:val="24"/>
        </w:rPr>
        <w:t>porównaniu do analogicznego okresu 2024</w:t>
      </w:r>
      <w:r w:rsidRPr="007D383E">
        <w:rPr>
          <w:rFonts w:cstheme="minorHAnsi"/>
          <w:szCs w:val="24"/>
        </w:rPr>
        <w:t xml:space="preserve"> roku odnotowali przewoźnicy: </w:t>
      </w:r>
      <w:r w:rsidR="00AE7C93" w:rsidRPr="007D383E">
        <w:rPr>
          <w:rFonts w:cstheme="minorHAnsi"/>
          <w:szCs w:val="24"/>
        </w:rPr>
        <w:t xml:space="preserve">Wizz Air </w:t>
      </w:r>
      <w:r w:rsidRPr="007D383E">
        <w:rPr>
          <w:rFonts w:cstheme="minorHAnsi"/>
          <w:szCs w:val="24"/>
        </w:rPr>
        <w:t>(+</w:t>
      </w:r>
      <w:r w:rsidR="00AE7C93">
        <w:rPr>
          <w:rFonts w:cstheme="minorHAnsi"/>
          <w:szCs w:val="24"/>
        </w:rPr>
        <w:t>317,8 tys.</w:t>
      </w:r>
      <w:r w:rsidRPr="007D383E">
        <w:rPr>
          <w:rFonts w:cstheme="minorHAnsi"/>
          <w:szCs w:val="24"/>
        </w:rPr>
        <w:t xml:space="preserve"> pasażerów), </w:t>
      </w:r>
      <w:r w:rsidR="00AE7C93" w:rsidRPr="007D383E">
        <w:rPr>
          <w:rFonts w:cstheme="minorHAnsi"/>
          <w:szCs w:val="24"/>
        </w:rPr>
        <w:t xml:space="preserve">Ryanair </w:t>
      </w:r>
      <w:r w:rsidRPr="007D383E">
        <w:rPr>
          <w:rFonts w:cstheme="minorHAnsi"/>
          <w:szCs w:val="24"/>
        </w:rPr>
        <w:t>(+</w:t>
      </w:r>
      <w:r w:rsidR="00AE7C93">
        <w:rPr>
          <w:rFonts w:cstheme="minorHAnsi"/>
          <w:szCs w:val="24"/>
        </w:rPr>
        <w:t>254,7</w:t>
      </w:r>
      <w:r w:rsidRPr="007D383E">
        <w:rPr>
          <w:rFonts w:cstheme="minorHAnsi"/>
          <w:szCs w:val="24"/>
        </w:rPr>
        <w:t xml:space="preserve"> tys.) i </w:t>
      </w:r>
      <w:r w:rsidR="00AE7C93">
        <w:rPr>
          <w:rFonts w:cstheme="minorHAnsi"/>
          <w:szCs w:val="24"/>
        </w:rPr>
        <w:t>PLL LOT</w:t>
      </w:r>
      <w:r w:rsidRPr="007D383E">
        <w:rPr>
          <w:rFonts w:cstheme="minorHAnsi"/>
          <w:szCs w:val="24"/>
        </w:rPr>
        <w:t xml:space="preserve"> (+</w:t>
      </w:r>
      <w:r w:rsidR="00AE7C93">
        <w:rPr>
          <w:rFonts w:cstheme="minorHAnsi"/>
          <w:szCs w:val="24"/>
        </w:rPr>
        <w:t>231,2</w:t>
      </w:r>
      <w:r w:rsidRPr="007D383E">
        <w:rPr>
          <w:rFonts w:cstheme="minorHAnsi"/>
          <w:szCs w:val="24"/>
        </w:rPr>
        <w:t xml:space="preserve"> tys.). </w:t>
      </w:r>
    </w:p>
    <w:p w14:paraId="41DF25BD" w14:textId="77777777" w:rsidR="00E77874" w:rsidRPr="007D383E" w:rsidRDefault="00E77874" w:rsidP="00E77874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16F7B5E0" wp14:editId="0EC6C3C5">
            <wp:extent cx="5760000" cy="2880000"/>
            <wp:effectExtent l="38100" t="0" r="0" b="0"/>
            <wp:docPr id="80" name="Wykres 80" descr="Wykres przedstawia udział w rynku przewoźników realizujących największe przewozy w rucu międzynarodowym w Polsce w minionych kwartałach danego roku. Dane przedstawione w Tabeli 15.1 poniżej." title="Wykres 15.1 Udział w rynku wg liczby przewiezionych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8B7981B" w14:textId="5570901A" w:rsidR="00E77874" w:rsidRPr="007D383E" w:rsidRDefault="00E77874" w:rsidP="00E77874">
      <w:pPr>
        <w:pStyle w:val="Legenda"/>
        <w:rPr>
          <w:rFonts w:cstheme="minorHAnsi"/>
          <w:szCs w:val="24"/>
        </w:rPr>
      </w:pPr>
      <w:bookmarkStart w:id="70" w:name="_Toc20053494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15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Udział w rynku wg liczby przewiezionych pasażerów w ruchu międzynarodowym – wykres przedstawia udział w rynku przewoźników realizujących największe przewozy w ruchu międzynarodowym w Polsce </w:t>
      </w:r>
      <w:r w:rsidR="007A7454" w:rsidRPr="007D383E">
        <w:rPr>
          <w:noProof/>
        </w:rPr>
        <w:t xml:space="preserve">w </w:t>
      </w:r>
      <w:r w:rsidR="00B035D6">
        <w:rPr>
          <w:noProof/>
        </w:rPr>
        <w:t xml:space="preserve">pierwszym kwartale </w:t>
      </w:r>
      <w:r w:rsidR="007A7454" w:rsidRPr="007D383E">
        <w:rPr>
          <w:noProof/>
        </w:rPr>
        <w:t>202</w:t>
      </w:r>
      <w:r w:rsidR="00B035D6">
        <w:rPr>
          <w:noProof/>
        </w:rPr>
        <w:t>5</w:t>
      </w:r>
      <w:r w:rsidR="007A7454" w:rsidRPr="007D383E">
        <w:rPr>
          <w:noProof/>
        </w:rPr>
        <w:t xml:space="preserve"> roku</w:t>
      </w:r>
      <w:r w:rsidRPr="007D383E">
        <w:rPr>
          <w:noProof/>
        </w:rPr>
        <w:t>.</w:t>
      </w:r>
      <w:bookmarkEnd w:id="70"/>
    </w:p>
    <w:tbl>
      <w:tblPr>
        <w:tblW w:w="43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220"/>
        <w:gridCol w:w="1140"/>
      </w:tblGrid>
      <w:tr w:rsidR="002E4EA4" w:rsidRPr="007D383E" w14:paraId="77D8C07F" w14:textId="77777777" w:rsidTr="00440432">
        <w:trPr>
          <w:trHeight w:val="340"/>
          <w:tblHeader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53127C" w14:textId="77777777" w:rsidR="002E4EA4" w:rsidRPr="007D383E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F8EE3F" w14:textId="77777777" w:rsidR="002E4EA4" w:rsidRPr="007D383E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DA3F3E" w:rsidRPr="007D383E" w14:paraId="0B663E80" w14:textId="77777777" w:rsidTr="00E56D15">
        <w:trPr>
          <w:trHeight w:val="340"/>
          <w:jc w:val="center"/>
        </w:trPr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15DD1A1" w14:textId="2D24FCB0" w:rsidR="00DA3F3E" w:rsidRPr="00DA3F3E" w:rsidRDefault="00DA3F3E" w:rsidP="00DA3F3E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Ryanair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73FF352" w14:textId="0F778F26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32,06%</w:t>
            </w:r>
          </w:p>
        </w:tc>
      </w:tr>
      <w:tr w:rsidR="00DA3F3E" w:rsidRPr="007D383E" w14:paraId="6A999150" w14:textId="77777777" w:rsidTr="00E56D15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C786055" w14:textId="471C897B" w:rsidR="00DA3F3E" w:rsidRPr="00DA3F3E" w:rsidRDefault="00DA3F3E" w:rsidP="00DA3F3E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Wizz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11480AF" w14:textId="3A0504F8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24,31%</w:t>
            </w:r>
          </w:p>
        </w:tc>
      </w:tr>
      <w:tr w:rsidR="00DA3F3E" w:rsidRPr="007D383E" w14:paraId="025D26FF" w14:textId="77777777" w:rsidTr="00E56D15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0689ECE" w14:textId="271F1895" w:rsidR="00DA3F3E" w:rsidRPr="00DA3F3E" w:rsidRDefault="00DA3F3E" w:rsidP="00DA3F3E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Polskie Linie Lotnicze LOT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8A0F829" w14:textId="433F32F9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17,39%</w:t>
            </w:r>
          </w:p>
        </w:tc>
      </w:tr>
      <w:tr w:rsidR="00DA3F3E" w:rsidRPr="007D383E" w14:paraId="7465A046" w14:textId="77777777" w:rsidTr="00E56D15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AADBFE8" w14:textId="31F02F74" w:rsidR="00DA3F3E" w:rsidRPr="00DA3F3E" w:rsidRDefault="00DA3F3E" w:rsidP="00DA3F3E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Enter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6A7F4C3" w14:textId="0A351080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4,57%</w:t>
            </w:r>
          </w:p>
        </w:tc>
      </w:tr>
      <w:tr w:rsidR="00DA3F3E" w:rsidRPr="007D383E" w14:paraId="722CF050" w14:textId="77777777" w:rsidTr="00E56D15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9C2898C" w14:textId="4FACAC41" w:rsidR="00DA3F3E" w:rsidRPr="00DA3F3E" w:rsidRDefault="00DA3F3E" w:rsidP="00DA3F3E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Lufthansa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723C442" w14:textId="29B0E1CC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3,67%</w:t>
            </w:r>
          </w:p>
        </w:tc>
      </w:tr>
      <w:tr w:rsidR="00DA3F3E" w:rsidRPr="007D383E" w14:paraId="074BB85F" w14:textId="77777777" w:rsidTr="00E56D15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10C332F" w14:textId="1BA051EB" w:rsidR="00DA3F3E" w:rsidRPr="00DA3F3E" w:rsidRDefault="00DA3F3E" w:rsidP="00DA3F3E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KLM Royal Dutch Airlines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C147150" w14:textId="17622174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2,22%</w:t>
            </w:r>
          </w:p>
        </w:tc>
      </w:tr>
      <w:tr w:rsidR="00DA3F3E" w:rsidRPr="007D383E" w14:paraId="73E8214D" w14:textId="77777777" w:rsidTr="00E56D15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EECD1BA" w14:textId="5B64F460" w:rsidR="00DA3F3E" w:rsidRPr="00DA3F3E" w:rsidRDefault="00DA3F3E" w:rsidP="00DA3F3E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EasyJet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E36B5C5" w14:textId="59F72921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1,44%</w:t>
            </w:r>
          </w:p>
        </w:tc>
      </w:tr>
      <w:tr w:rsidR="00DA3F3E" w:rsidRPr="007D383E" w14:paraId="30589FCF" w14:textId="77777777" w:rsidTr="00E56D15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B5285E7" w14:textId="47C90A4F" w:rsidR="00DA3F3E" w:rsidRPr="00DA3F3E" w:rsidRDefault="00DA3F3E" w:rsidP="00DA3F3E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Pozostali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7E7BD5F" w14:textId="5C7449CE" w:rsidR="00DA3F3E" w:rsidRPr="00DA3F3E" w:rsidRDefault="00DA3F3E" w:rsidP="00DA3F3E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DA3F3E">
              <w:rPr>
                <w:color w:val="283772"/>
              </w:rPr>
              <w:t>14,34%</w:t>
            </w:r>
          </w:p>
        </w:tc>
      </w:tr>
    </w:tbl>
    <w:p w14:paraId="3BD039E3" w14:textId="08C7C004" w:rsidR="001923F0" w:rsidRPr="001923F0" w:rsidRDefault="00440432" w:rsidP="0089169E">
      <w:pPr>
        <w:pStyle w:val="Legenda"/>
        <w:spacing w:after="1080"/>
        <w:rPr>
          <w:noProof/>
        </w:rPr>
      </w:pPr>
      <w:bookmarkStart w:id="71" w:name="_Toc20053854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15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Udział w rynku wg liczby przewiezionych pasażerów</w:t>
      </w:r>
      <w:r w:rsidR="00E77874" w:rsidRPr="007D383E">
        <w:rPr>
          <w:noProof/>
        </w:rPr>
        <w:t xml:space="preserve"> w ruchu międzynarodowym</w:t>
      </w:r>
      <w:bookmarkEnd w:id="71"/>
    </w:p>
    <w:p w14:paraId="7D221891" w14:textId="77777777" w:rsidR="002E4EA4" w:rsidRPr="007D383E" w:rsidRDefault="00574DE0" w:rsidP="005A6434">
      <w:pPr>
        <w:pStyle w:val="Nagwek1"/>
      </w:pPr>
      <w:bookmarkStart w:id="72" w:name="_Toc200533907"/>
      <w:r w:rsidRPr="007D383E">
        <w:lastRenderedPageBreak/>
        <w:t>Przewoźnicy – modele biznesowe</w:t>
      </w:r>
      <w:bookmarkEnd w:id="72"/>
    </w:p>
    <w:p w14:paraId="201562FF" w14:textId="6637A3CE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</w:t>
      </w:r>
      <w:r w:rsidR="00AE7C93">
        <w:rPr>
          <w:rFonts w:cstheme="minorHAnsi"/>
          <w:szCs w:val="24"/>
        </w:rPr>
        <w:t xml:space="preserve">pierwszym kwartale </w:t>
      </w:r>
      <w:r w:rsidRPr="007D383E">
        <w:rPr>
          <w:rFonts w:cstheme="minorHAnsi"/>
          <w:szCs w:val="24"/>
        </w:rPr>
        <w:t>202</w:t>
      </w:r>
      <w:r w:rsidR="00AE7C93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roku </w:t>
      </w:r>
      <w:r w:rsidR="00AE7C93">
        <w:rPr>
          <w:rFonts w:cstheme="minorHAnsi"/>
          <w:szCs w:val="24"/>
        </w:rPr>
        <w:t>w niewielkim stopniu</w:t>
      </w:r>
      <w:r w:rsidRPr="007D383E">
        <w:rPr>
          <w:rFonts w:cstheme="minorHAnsi"/>
          <w:szCs w:val="24"/>
        </w:rPr>
        <w:t xml:space="preserve"> </w:t>
      </w:r>
      <w:r w:rsidR="00AE7C93">
        <w:rPr>
          <w:rFonts w:cstheme="minorHAnsi"/>
          <w:szCs w:val="24"/>
        </w:rPr>
        <w:t>zmieniły się</w:t>
      </w:r>
      <w:r w:rsidRPr="007D383E">
        <w:rPr>
          <w:rFonts w:cstheme="minorHAnsi"/>
          <w:szCs w:val="24"/>
        </w:rPr>
        <w:t xml:space="preserve"> udział</w:t>
      </w:r>
      <w:r w:rsidR="00AE7C93">
        <w:rPr>
          <w:rFonts w:cstheme="minorHAnsi"/>
          <w:szCs w:val="24"/>
        </w:rPr>
        <w:t>y</w:t>
      </w:r>
      <w:r w:rsidRPr="007D383E">
        <w:rPr>
          <w:rFonts w:cstheme="minorHAnsi"/>
          <w:szCs w:val="24"/>
        </w:rPr>
        <w:t xml:space="preserve"> w rynku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ruchu międzynarodowego ze względu na realizowany model biznesowy przewoźnika lotniczego, w stosunku do </w:t>
      </w:r>
      <w:r w:rsidR="00AE7C93">
        <w:rPr>
          <w:rFonts w:cstheme="minorHAnsi"/>
          <w:szCs w:val="24"/>
        </w:rPr>
        <w:t xml:space="preserve">analogicznego okresu </w:t>
      </w:r>
      <w:r w:rsidRPr="007D383E">
        <w:rPr>
          <w:rFonts w:cstheme="minorHAnsi"/>
          <w:szCs w:val="24"/>
        </w:rPr>
        <w:t>202</w:t>
      </w:r>
      <w:r w:rsidR="00AE7C93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roku. </w:t>
      </w:r>
    </w:p>
    <w:p w14:paraId="6F838EE6" w14:textId="2D88F7D6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Przewoźnicy sieciowi odnotowali wzrost w liczbie przewiezionych pasażerów o </w:t>
      </w:r>
      <w:r w:rsidR="00AE7C93">
        <w:rPr>
          <w:rFonts w:cstheme="minorHAnsi"/>
          <w:szCs w:val="24"/>
        </w:rPr>
        <w:t>12,8</w:t>
      </w:r>
      <w:r w:rsidRPr="007D383E">
        <w:rPr>
          <w:rFonts w:cstheme="minorHAnsi"/>
          <w:szCs w:val="24"/>
        </w:rPr>
        <w:t>%, przewoźnicy niskokosztowi o </w:t>
      </w:r>
      <w:r w:rsidR="00AE7C93">
        <w:rPr>
          <w:rFonts w:cstheme="minorHAnsi"/>
          <w:szCs w:val="24"/>
        </w:rPr>
        <w:t>11,5</w:t>
      </w:r>
      <w:r w:rsidRPr="007D383E">
        <w:rPr>
          <w:rFonts w:cstheme="minorHAnsi"/>
          <w:szCs w:val="24"/>
        </w:rPr>
        <w:t xml:space="preserve">%, a czarterowi o </w:t>
      </w:r>
      <w:r w:rsidR="00AE7C93">
        <w:rPr>
          <w:rFonts w:cstheme="minorHAnsi"/>
          <w:szCs w:val="24"/>
        </w:rPr>
        <w:t>25,4</w:t>
      </w:r>
      <w:r w:rsidRPr="007D383E">
        <w:rPr>
          <w:rFonts w:cstheme="minorHAnsi"/>
          <w:szCs w:val="24"/>
        </w:rPr>
        <w:t xml:space="preserve">%. </w:t>
      </w:r>
      <w:r w:rsidR="00F247E0">
        <w:rPr>
          <w:rFonts w:cstheme="minorHAnsi"/>
          <w:szCs w:val="24"/>
        </w:rPr>
        <w:t>Udział w rynku przewozów międzynarodowych</w:t>
      </w:r>
      <w:r w:rsidR="00235511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przewoźników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czarterowych</w:t>
      </w:r>
      <w:r w:rsidR="0056061B" w:rsidRPr="007D383E">
        <w:rPr>
          <w:rFonts w:cstheme="minorHAnsi"/>
          <w:szCs w:val="24"/>
        </w:rPr>
        <w:t xml:space="preserve"> </w:t>
      </w:r>
      <w:r w:rsidR="00F247E0">
        <w:rPr>
          <w:rFonts w:cstheme="minorHAnsi"/>
          <w:szCs w:val="24"/>
        </w:rPr>
        <w:t>wzró</w:t>
      </w:r>
      <w:r w:rsidR="00A332A6">
        <w:rPr>
          <w:rFonts w:cstheme="minorHAnsi"/>
          <w:szCs w:val="24"/>
        </w:rPr>
        <w:t>sł o 0,</w:t>
      </w:r>
      <w:r w:rsidR="00AE7C93">
        <w:rPr>
          <w:rFonts w:cstheme="minorHAnsi"/>
          <w:szCs w:val="24"/>
        </w:rPr>
        <w:t>6</w:t>
      </w:r>
      <w:r w:rsidR="00A332A6">
        <w:rPr>
          <w:rFonts w:cstheme="minorHAnsi"/>
          <w:szCs w:val="24"/>
        </w:rPr>
        <w:t xml:space="preserve"> punktu procentowego, a </w:t>
      </w:r>
      <w:r w:rsidR="00F247E0">
        <w:rPr>
          <w:rFonts w:cstheme="minorHAnsi"/>
          <w:szCs w:val="24"/>
        </w:rPr>
        <w:t xml:space="preserve">przewoźników sieciowych </w:t>
      </w:r>
      <w:r w:rsidR="00AE7C93">
        <w:rPr>
          <w:rFonts w:cstheme="minorHAnsi"/>
          <w:szCs w:val="24"/>
        </w:rPr>
        <w:t>pozostał na tym samym poziomie</w:t>
      </w:r>
      <w:r w:rsidR="00DA15C7">
        <w:rPr>
          <w:rFonts w:cstheme="minorHAnsi"/>
          <w:szCs w:val="24"/>
        </w:rPr>
        <w:t>.</w:t>
      </w:r>
      <w:r w:rsidR="00F247E0">
        <w:rPr>
          <w:rFonts w:cstheme="minorHAnsi"/>
          <w:szCs w:val="24"/>
        </w:rPr>
        <w:t xml:space="preserve"> Natomiast udział przewoźników niskokosztowych spadł o </w:t>
      </w:r>
      <w:r w:rsidR="00AE7C93">
        <w:rPr>
          <w:rFonts w:cstheme="minorHAnsi"/>
          <w:szCs w:val="24"/>
        </w:rPr>
        <w:t>0,7</w:t>
      </w:r>
      <w:r w:rsidR="00F247E0">
        <w:rPr>
          <w:rFonts w:cstheme="minorHAnsi"/>
          <w:szCs w:val="24"/>
        </w:rPr>
        <w:t xml:space="preserve"> </w:t>
      </w:r>
      <w:r w:rsidR="00AE7C93">
        <w:rPr>
          <w:rFonts w:cstheme="minorHAnsi"/>
          <w:szCs w:val="24"/>
        </w:rPr>
        <w:t>punktu procentowego</w:t>
      </w:r>
      <w:r w:rsidR="00F247E0">
        <w:rPr>
          <w:rFonts w:cstheme="minorHAnsi"/>
          <w:szCs w:val="24"/>
        </w:rPr>
        <w:t>.</w:t>
      </w:r>
    </w:p>
    <w:p w14:paraId="26DF410D" w14:textId="77777777" w:rsidR="006E7D6D" w:rsidRPr="007D383E" w:rsidRDefault="006E7D6D" w:rsidP="006E7D6D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D7D0A81" wp14:editId="7A511117">
            <wp:extent cx="5754676" cy="2880000"/>
            <wp:effectExtent l="0" t="0" r="0" b="0"/>
            <wp:docPr id="81" name="Wykres 81" descr="Wykres przedstawia udział przewozów międzynarodowych w podziale na modele biznesowe, tj. na przewoźników sieciowych, niskokosztowych i czarterowych w minionych kwartałach z uwzględnieniem analogicznych okresów z poprzednich 2 lat. Dane przedstawione w Tabeli 16.1 poniżej." title="Wykres 16.1 Udział w rynku ruchu międzynarodowego wg.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DCF551B" w14:textId="681C0CE3" w:rsidR="006E7D6D" w:rsidRPr="007D383E" w:rsidRDefault="006E7D6D" w:rsidP="006E7D6D">
      <w:pPr>
        <w:pStyle w:val="Legenda"/>
        <w:rPr>
          <w:rFonts w:cstheme="minorHAnsi"/>
          <w:szCs w:val="24"/>
        </w:rPr>
      </w:pPr>
      <w:bookmarkStart w:id="73" w:name="_Toc20053494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Udział w rynku</w:t>
      </w:r>
      <w:r w:rsidR="005C5394" w:rsidRPr="007D383E">
        <w:rPr>
          <w:noProof/>
        </w:rPr>
        <w:t xml:space="preserve"> ruchu międzynarodowego</w:t>
      </w:r>
      <w:r w:rsidRPr="007D383E">
        <w:rPr>
          <w:noProof/>
        </w:rPr>
        <w:t xml:space="preserve"> wg</w:t>
      </w:r>
      <w:r w:rsidR="005C5394" w:rsidRPr="007D383E">
        <w:rPr>
          <w:noProof/>
        </w:rPr>
        <w:t>.</w:t>
      </w:r>
      <w:r w:rsidRPr="007D383E">
        <w:rPr>
          <w:noProof/>
        </w:rPr>
        <w:t xml:space="preserve"> modelu biznesowego – wykres przedstawia udział przewozów</w:t>
      </w:r>
      <w:r w:rsidR="005C5394" w:rsidRPr="007D383E">
        <w:rPr>
          <w:noProof/>
        </w:rPr>
        <w:t xml:space="preserve"> międzynarodowych</w:t>
      </w:r>
      <w:r w:rsidRPr="007D383E">
        <w:rPr>
          <w:noProof/>
        </w:rPr>
        <w:t xml:space="preserve"> w podziale na modele biznesowe, tj. na przewoźników sieciowych, niskokosztowych i czarterowych </w:t>
      </w:r>
      <w:r w:rsidR="007A7454" w:rsidRPr="007D383E">
        <w:rPr>
          <w:noProof/>
        </w:rPr>
        <w:t xml:space="preserve">w </w:t>
      </w:r>
      <w:r w:rsidR="00B035D6">
        <w:rPr>
          <w:noProof/>
        </w:rPr>
        <w:t xml:space="preserve">pierwszym kwartale </w:t>
      </w:r>
      <w:r w:rsidR="007A7454" w:rsidRPr="007D383E">
        <w:rPr>
          <w:noProof/>
        </w:rPr>
        <w:t>202</w:t>
      </w:r>
      <w:r w:rsidR="00B035D6">
        <w:rPr>
          <w:noProof/>
        </w:rPr>
        <w:t>5</w:t>
      </w:r>
      <w:r w:rsidR="007A7454" w:rsidRPr="007D383E">
        <w:rPr>
          <w:noProof/>
        </w:rPr>
        <w:t xml:space="preserve"> roku</w:t>
      </w:r>
      <w:r w:rsidR="00EA13B7" w:rsidRPr="007D383E">
        <w:rPr>
          <w:noProof/>
        </w:rPr>
        <w:t xml:space="preserve"> wraz z </w:t>
      </w:r>
      <w:r w:rsidRPr="007D383E">
        <w:rPr>
          <w:noProof/>
        </w:rPr>
        <w:t>uwzględnieniem</w:t>
      </w:r>
      <w:r w:rsidR="00B035D6">
        <w:rPr>
          <w:noProof/>
        </w:rPr>
        <w:t xml:space="preserve"> analogicznych okresów </w:t>
      </w:r>
      <w:r w:rsidRPr="007D383E">
        <w:rPr>
          <w:rFonts w:cstheme="minorHAnsi"/>
          <w:szCs w:val="24"/>
        </w:rPr>
        <w:t xml:space="preserve">lat </w:t>
      </w:r>
      <w:r w:rsidR="00F00187" w:rsidRPr="007D383E">
        <w:rPr>
          <w:rFonts w:cstheme="minorHAnsi"/>
          <w:szCs w:val="24"/>
        </w:rPr>
        <w:t>202</w:t>
      </w:r>
      <w:r w:rsidR="00B035D6">
        <w:rPr>
          <w:rFonts w:cstheme="minorHAnsi"/>
          <w:szCs w:val="24"/>
        </w:rPr>
        <w:t>4</w:t>
      </w:r>
      <w:r w:rsidR="00F00187" w:rsidRPr="007D383E">
        <w:rPr>
          <w:rFonts w:cstheme="minorHAnsi"/>
          <w:szCs w:val="24"/>
        </w:rPr>
        <w:t xml:space="preserve"> i 202</w:t>
      </w:r>
      <w:r w:rsidR="00B035D6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>.</w:t>
      </w:r>
      <w:bookmarkEnd w:id="73"/>
    </w:p>
    <w:tbl>
      <w:tblPr>
        <w:tblW w:w="70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4A11D9" w:rsidRPr="007D383E" w14:paraId="22B91603" w14:textId="77777777" w:rsidTr="004A11D9">
        <w:trPr>
          <w:trHeight w:val="340"/>
          <w:tblHeader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600CE4A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Rok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7F6D2CA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Sieciowi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301440E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Niskokosztowi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29CC187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Czarterowi</w:t>
            </w:r>
          </w:p>
        </w:tc>
      </w:tr>
      <w:tr w:rsidR="00B035D6" w:rsidRPr="007D383E" w14:paraId="1873E20A" w14:textId="77777777" w:rsidTr="00E56D15">
        <w:trPr>
          <w:trHeight w:val="340"/>
          <w:jc w:val="center"/>
        </w:trPr>
        <w:tc>
          <w:tcPr>
            <w:tcW w:w="1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18E2CE2" w14:textId="7E1BAF4C" w:rsidR="00B035D6" w:rsidRPr="007D383E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7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65CB1FE" w14:textId="45026283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32,3%</w:t>
            </w:r>
          </w:p>
        </w:tc>
        <w:tc>
          <w:tcPr>
            <w:tcW w:w="17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D253996" w14:textId="56599AA9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61,3%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81F00F1" w14:textId="7B8E73E3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6,4%</w:t>
            </w:r>
          </w:p>
        </w:tc>
      </w:tr>
      <w:tr w:rsidR="00B035D6" w:rsidRPr="007D383E" w14:paraId="1A84F040" w14:textId="77777777" w:rsidTr="00E56D15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0B34DDC" w14:textId="4D0C6464" w:rsidR="00B035D6" w:rsidRPr="007D383E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9BEBB8C" w14:textId="718C45B0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32,3%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52DE6C4" w14:textId="01BBE384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62,0%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CFABF2C" w14:textId="387355B2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5,8%</w:t>
            </w:r>
          </w:p>
        </w:tc>
      </w:tr>
      <w:tr w:rsidR="00B035D6" w:rsidRPr="007D383E" w14:paraId="218401FF" w14:textId="77777777" w:rsidTr="00E56D15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90184FD" w14:textId="6A5BA811" w:rsidR="00B035D6" w:rsidRPr="007D383E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A57D186" w14:textId="398C1316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31,9%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60DE603" w14:textId="1D2246B0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62,9%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E3DBCE1" w14:textId="30F0608E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5,3%</w:t>
            </w:r>
          </w:p>
        </w:tc>
      </w:tr>
    </w:tbl>
    <w:p w14:paraId="4D7ECB44" w14:textId="74A83090" w:rsidR="001923F0" w:rsidRPr="001C5D59" w:rsidRDefault="00C95454" w:rsidP="0089169E">
      <w:pPr>
        <w:pStyle w:val="Legenda"/>
        <w:spacing w:after="1920"/>
        <w:rPr>
          <w:noProof/>
        </w:rPr>
      </w:pPr>
      <w:bookmarkStart w:id="74" w:name="_Toc20053854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Udział w rynku</w:t>
      </w:r>
      <w:r w:rsidR="00F27BCD" w:rsidRPr="007D383E">
        <w:rPr>
          <w:noProof/>
        </w:rPr>
        <w:t xml:space="preserve"> ruchu międzynarodowego</w:t>
      </w:r>
      <w:r w:rsidRPr="007D383E">
        <w:rPr>
          <w:noProof/>
        </w:rPr>
        <w:t xml:space="preserve"> wg modelu biznesowego</w:t>
      </w:r>
      <w:bookmarkEnd w:id="74"/>
    </w:p>
    <w:p w14:paraId="100FB0D0" w14:textId="77777777" w:rsidR="002E4EA4" w:rsidRPr="007D383E" w:rsidRDefault="00574DE0" w:rsidP="005A6434">
      <w:pPr>
        <w:pStyle w:val="Nagwek1"/>
      </w:pPr>
      <w:bookmarkStart w:id="75" w:name="_Toc200533908"/>
      <w:r w:rsidRPr="007D383E">
        <w:lastRenderedPageBreak/>
        <w:t>Porównanie przewozów LCC i sieciowych</w:t>
      </w:r>
      <w:bookmarkEnd w:id="75"/>
    </w:p>
    <w:p w14:paraId="44FEDBED" w14:textId="60BED95C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 pasażerów w ruchu międzynarodowym wśród przewoźników niskokosztowych w</w:t>
      </w:r>
      <w:r w:rsidR="00AE7C93">
        <w:rPr>
          <w:rFonts w:cstheme="minorHAnsi"/>
          <w:szCs w:val="24"/>
        </w:rPr>
        <w:t xml:space="preserve"> pierwszym kwartale</w:t>
      </w:r>
      <w:r w:rsidR="009D0D22">
        <w:rPr>
          <w:rFonts w:cstheme="minorHAnsi"/>
          <w:szCs w:val="24"/>
        </w:rPr>
        <w:t> 2025</w:t>
      </w:r>
      <w:r w:rsidRPr="007D383E">
        <w:rPr>
          <w:rFonts w:cstheme="minorHAnsi"/>
          <w:szCs w:val="24"/>
        </w:rPr>
        <w:t xml:space="preserve"> roku przewiózł Ryanair (</w:t>
      </w:r>
      <w:r w:rsidR="009D0D22">
        <w:rPr>
          <w:rFonts w:cstheme="minorHAnsi"/>
          <w:szCs w:val="24"/>
        </w:rPr>
        <w:t>3,7</w:t>
      </w:r>
      <w:r w:rsidRPr="007D383E">
        <w:rPr>
          <w:rFonts w:cstheme="minorHAnsi"/>
          <w:szCs w:val="24"/>
        </w:rPr>
        <w:t xml:space="preserve"> mln pasażerów, </w:t>
      </w:r>
      <w:r w:rsidR="009D0D22">
        <w:rPr>
          <w:rFonts w:cstheme="minorHAnsi"/>
          <w:szCs w:val="24"/>
        </w:rPr>
        <w:t>+254,7 tys. pasażerów więcej niż w analogicznym okresie 2024 r.</w:t>
      </w:r>
      <w:r w:rsidRPr="007D383E">
        <w:rPr>
          <w:rFonts w:cstheme="minorHAnsi"/>
          <w:szCs w:val="24"/>
        </w:rPr>
        <w:t>). Przewoźnik r</w:t>
      </w:r>
      <w:r w:rsidR="00BC540C">
        <w:rPr>
          <w:rFonts w:cstheme="minorHAnsi"/>
          <w:szCs w:val="24"/>
        </w:rPr>
        <w:t>ozwijał się najszybciej w portach lotniczych</w:t>
      </w:r>
      <w:r w:rsidRPr="007D383E">
        <w:rPr>
          <w:rFonts w:cstheme="minorHAnsi"/>
          <w:szCs w:val="24"/>
        </w:rPr>
        <w:t xml:space="preserve"> Kraków-Balice</w:t>
      </w:r>
      <w:r w:rsidR="009D0D22">
        <w:rPr>
          <w:rFonts w:cstheme="minorHAnsi"/>
          <w:szCs w:val="24"/>
        </w:rPr>
        <w:t>,</w:t>
      </w:r>
      <w:r w:rsidR="009D0D22" w:rsidRPr="009D0D22">
        <w:rPr>
          <w:rFonts w:cstheme="minorHAnsi"/>
          <w:szCs w:val="24"/>
        </w:rPr>
        <w:t xml:space="preserve"> </w:t>
      </w:r>
      <w:r w:rsidR="009D0D22" w:rsidRPr="007D383E">
        <w:rPr>
          <w:rFonts w:cstheme="minorHAnsi"/>
          <w:szCs w:val="24"/>
        </w:rPr>
        <w:t>Poznań-Ławica</w:t>
      </w:r>
      <w:r w:rsidR="009D0D22">
        <w:rPr>
          <w:rFonts w:cstheme="minorHAnsi"/>
          <w:szCs w:val="24"/>
        </w:rPr>
        <w:t xml:space="preserve"> i</w:t>
      </w:r>
      <w:r w:rsidRPr="007D383E">
        <w:rPr>
          <w:rFonts w:cstheme="minorHAnsi"/>
          <w:szCs w:val="24"/>
        </w:rPr>
        <w:t xml:space="preserve"> W</w:t>
      </w:r>
      <w:r w:rsidR="009D0D22">
        <w:rPr>
          <w:rFonts w:cstheme="minorHAnsi"/>
          <w:szCs w:val="24"/>
        </w:rPr>
        <w:t>rocław-Strachowice.</w:t>
      </w:r>
    </w:p>
    <w:p w14:paraId="0047EE11" w14:textId="092F064D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Drugi największy przewoźnik niskokosztowy</w:t>
      </w:r>
      <w:r w:rsidR="008220A4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Wizz Air</w:t>
      </w:r>
      <w:r w:rsidR="008220A4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obsłużył </w:t>
      </w:r>
      <w:r w:rsidR="009D0D22">
        <w:rPr>
          <w:rFonts w:cstheme="minorHAnsi"/>
          <w:szCs w:val="24"/>
        </w:rPr>
        <w:t>2,8</w:t>
      </w:r>
      <w:r w:rsidRPr="007D383E">
        <w:rPr>
          <w:rFonts w:cstheme="minorHAnsi"/>
          <w:szCs w:val="24"/>
        </w:rPr>
        <w:t xml:space="preserve"> mln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pasażerów (+</w:t>
      </w:r>
      <w:r w:rsidR="009D0D22">
        <w:rPr>
          <w:rFonts w:cstheme="minorHAnsi"/>
          <w:szCs w:val="24"/>
        </w:rPr>
        <w:t>317,8 tys.</w:t>
      </w:r>
      <w:r w:rsidRPr="007D383E">
        <w:rPr>
          <w:rFonts w:cstheme="minorHAnsi"/>
          <w:szCs w:val="24"/>
        </w:rPr>
        <w:t xml:space="preserve"> w porównaniu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do </w:t>
      </w:r>
      <w:r w:rsidR="009D0D22">
        <w:rPr>
          <w:rFonts w:cstheme="minorHAnsi"/>
          <w:szCs w:val="24"/>
        </w:rPr>
        <w:t xml:space="preserve">tego samego okresu </w:t>
      </w:r>
      <w:r w:rsidRPr="007D383E">
        <w:rPr>
          <w:rFonts w:cstheme="minorHAnsi"/>
          <w:szCs w:val="24"/>
        </w:rPr>
        <w:t>202</w:t>
      </w:r>
      <w:r w:rsidR="009D0D22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roku</w:t>
      </w:r>
      <w:r w:rsidR="00E061A9">
        <w:rPr>
          <w:rFonts w:cstheme="minorHAnsi"/>
          <w:szCs w:val="24"/>
        </w:rPr>
        <w:t>), a </w:t>
      </w:r>
      <w:r w:rsidRPr="007D383E">
        <w:rPr>
          <w:rFonts w:cstheme="minorHAnsi"/>
          <w:szCs w:val="24"/>
        </w:rPr>
        <w:t>największe wzrosty ilościowe odnotował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na Lotnisku Chopina</w:t>
      </w:r>
      <w:r w:rsidR="009D0D22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</w:t>
      </w:r>
      <w:r w:rsidR="005C4400">
        <w:rPr>
          <w:rFonts w:cstheme="minorHAnsi"/>
          <w:szCs w:val="24"/>
        </w:rPr>
        <w:t xml:space="preserve">w Porcie Lotniczym </w:t>
      </w:r>
      <w:r w:rsidRPr="007D383E">
        <w:rPr>
          <w:rFonts w:cstheme="minorHAnsi"/>
          <w:szCs w:val="24"/>
        </w:rPr>
        <w:t>Gdańsk im. L. Wałęsy</w:t>
      </w:r>
      <w:r w:rsidR="009D0D22">
        <w:rPr>
          <w:rFonts w:cstheme="minorHAnsi"/>
          <w:szCs w:val="24"/>
        </w:rPr>
        <w:t xml:space="preserve"> oraz Kraków-Balice</w:t>
      </w:r>
      <w:r w:rsidRPr="007D383E">
        <w:rPr>
          <w:rFonts w:cstheme="minorHAnsi"/>
          <w:szCs w:val="24"/>
        </w:rPr>
        <w:t xml:space="preserve">. </w:t>
      </w:r>
      <w:r w:rsidR="005B0A66">
        <w:rPr>
          <w:rFonts w:cstheme="minorHAnsi"/>
          <w:szCs w:val="24"/>
        </w:rPr>
        <w:t>Trzeci największy wzrost w liczbie przewiezionych pasażerów względem pierwszego kwartału 2024 r. odnotował przewoźnik SkyUp Airlines (+88,2 tys.).</w:t>
      </w:r>
    </w:p>
    <w:p w14:paraId="2F26FFE5" w14:textId="01034274" w:rsidR="009D6794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przypadku przewoźników sieciowych w </w:t>
      </w:r>
      <w:r w:rsidR="009D0D22">
        <w:rPr>
          <w:rFonts w:cstheme="minorHAnsi"/>
          <w:szCs w:val="24"/>
        </w:rPr>
        <w:t>pierwszym</w:t>
      </w:r>
      <w:r w:rsidRPr="007D383E">
        <w:rPr>
          <w:rFonts w:cstheme="minorHAnsi"/>
          <w:szCs w:val="24"/>
        </w:rPr>
        <w:t xml:space="preserve"> kwartale </w:t>
      </w:r>
      <w:r w:rsidR="009D0D22">
        <w:rPr>
          <w:rFonts w:cstheme="minorHAnsi"/>
          <w:szCs w:val="24"/>
        </w:rPr>
        <w:t xml:space="preserve">2025 r. </w:t>
      </w:r>
      <w:r w:rsidRPr="007D383E">
        <w:rPr>
          <w:rFonts w:cstheme="minorHAnsi"/>
          <w:szCs w:val="24"/>
        </w:rPr>
        <w:t xml:space="preserve">najwięcej pasażerów w ruchu międzynarodowym </w:t>
      </w:r>
      <w:r w:rsidR="00235511">
        <w:rPr>
          <w:rFonts w:cstheme="minorHAnsi"/>
          <w:szCs w:val="24"/>
        </w:rPr>
        <w:t>przewiózł PLL </w:t>
      </w:r>
      <w:r w:rsidR="009D0D22">
        <w:rPr>
          <w:rFonts w:cstheme="minorHAnsi"/>
          <w:szCs w:val="24"/>
        </w:rPr>
        <w:t xml:space="preserve">LOT – 2 </w:t>
      </w:r>
      <w:r w:rsidRPr="007D383E">
        <w:rPr>
          <w:rFonts w:cstheme="minorHAnsi"/>
          <w:szCs w:val="24"/>
        </w:rPr>
        <w:t>mln pasażerów, a więc o </w:t>
      </w:r>
      <w:r w:rsidR="009D0D22">
        <w:rPr>
          <w:rFonts w:cstheme="minorHAnsi"/>
          <w:szCs w:val="24"/>
        </w:rPr>
        <w:t>231,2</w:t>
      </w:r>
      <w:r w:rsidRPr="007D383E">
        <w:rPr>
          <w:rFonts w:cstheme="minorHAnsi"/>
          <w:szCs w:val="24"/>
        </w:rPr>
        <w:t xml:space="preserve"> tys. pasażerów więcej niż w </w:t>
      </w:r>
      <w:r w:rsidR="009D0D22">
        <w:rPr>
          <w:rFonts w:cstheme="minorHAnsi"/>
          <w:szCs w:val="24"/>
        </w:rPr>
        <w:t>pierwszym kwartale 2024 roku. Przewoźnik największe wzrosty odnotował na Lotnisku Chopina w Warszawie.</w:t>
      </w:r>
    </w:p>
    <w:p w14:paraId="6284A2EB" w14:textId="79FAFA3F" w:rsidR="00437EE7" w:rsidRPr="007D383E" w:rsidRDefault="00437EE7" w:rsidP="00437EE7">
      <w:pPr>
        <w:rPr>
          <w:rFonts w:cstheme="minorHAnsi"/>
          <w:szCs w:val="24"/>
        </w:rPr>
      </w:pPr>
      <w:r w:rsidRPr="007D383E">
        <w:t xml:space="preserve">Drugi największy </w:t>
      </w:r>
      <w:r w:rsidR="003A2FEA">
        <w:t>wynik</w:t>
      </w:r>
      <w:r w:rsidRPr="007D383E">
        <w:t xml:space="preserve"> </w:t>
      </w:r>
      <w:r w:rsidR="003A2FEA">
        <w:t xml:space="preserve">w </w:t>
      </w:r>
      <w:r w:rsidR="009D0D22">
        <w:rPr>
          <w:rFonts w:cstheme="minorHAnsi"/>
          <w:szCs w:val="24"/>
        </w:rPr>
        <w:t>pierwszym</w:t>
      </w:r>
      <w:r w:rsidR="009D0D22" w:rsidRPr="007D383E">
        <w:rPr>
          <w:rFonts w:cstheme="minorHAnsi"/>
          <w:szCs w:val="24"/>
        </w:rPr>
        <w:t xml:space="preserve"> kwartale </w:t>
      </w:r>
      <w:r w:rsidR="009D0D22">
        <w:rPr>
          <w:rFonts w:cstheme="minorHAnsi"/>
          <w:szCs w:val="24"/>
        </w:rPr>
        <w:t xml:space="preserve">2025 </w:t>
      </w:r>
      <w:r w:rsidR="003A2FEA">
        <w:t xml:space="preserve">roku </w:t>
      </w:r>
      <w:r w:rsidRPr="007D383E">
        <w:t xml:space="preserve">miała Lufthansa </w:t>
      </w:r>
      <w:r w:rsidRPr="007D383E">
        <w:rPr>
          <w:rFonts w:cstheme="minorHAnsi"/>
          <w:szCs w:val="24"/>
        </w:rPr>
        <w:t xml:space="preserve">obsługując </w:t>
      </w:r>
      <w:r w:rsidR="009D0D22">
        <w:rPr>
          <w:rFonts w:cstheme="minorHAnsi"/>
          <w:szCs w:val="24"/>
        </w:rPr>
        <w:t>422,4 tys.</w:t>
      </w:r>
      <w:r w:rsidRPr="007D383E">
        <w:rPr>
          <w:rFonts w:cstheme="minorHAnsi"/>
          <w:szCs w:val="24"/>
        </w:rPr>
        <w:t xml:space="preserve"> pasażerów (</w:t>
      </w:r>
      <w:r w:rsidR="009D0D22">
        <w:rPr>
          <w:rFonts w:cstheme="minorHAnsi"/>
          <w:szCs w:val="24"/>
        </w:rPr>
        <w:t>-2 tys.</w:t>
      </w:r>
      <w:r w:rsidRPr="007D383E">
        <w:rPr>
          <w:rFonts w:cstheme="minorHAnsi"/>
          <w:szCs w:val="24"/>
        </w:rPr>
        <w:t>)</w:t>
      </w:r>
      <w:r w:rsidRPr="007D383E">
        <w:t>, a następnie KLM</w:t>
      </w:r>
      <w:r w:rsidR="008220A4">
        <w:t>, który przewiózł</w:t>
      </w:r>
      <w:r w:rsidRPr="007D383E">
        <w:t xml:space="preserve"> </w:t>
      </w:r>
      <w:r w:rsidR="009D0D22">
        <w:rPr>
          <w:rFonts w:cstheme="minorHAnsi"/>
          <w:szCs w:val="24"/>
        </w:rPr>
        <w:t>255,5 tys.</w:t>
      </w:r>
      <w:r w:rsidRPr="007D383E">
        <w:rPr>
          <w:rFonts w:cstheme="minorHAnsi"/>
          <w:szCs w:val="24"/>
        </w:rPr>
        <w:t xml:space="preserve"> pasażerów (+</w:t>
      </w:r>
      <w:r w:rsidR="009D0D22">
        <w:rPr>
          <w:rFonts w:cstheme="minorHAnsi"/>
          <w:szCs w:val="24"/>
        </w:rPr>
        <w:t>27,6 tys.</w:t>
      </w:r>
      <w:r w:rsidRPr="007D383E">
        <w:rPr>
          <w:rFonts w:cstheme="minorHAnsi"/>
          <w:szCs w:val="24"/>
        </w:rPr>
        <w:t xml:space="preserve">). </w:t>
      </w:r>
    </w:p>
    <w:p w14:paraId="43F91DB7" w14:textId="52AB8912" w:rsidR="00437EE7" w:rsidRPr="007D383E" w:rsidRDefault="00437EE7" w:rsidP="00437EE7">
      <w:r w:rsidRPr="007D383E">
        <w:t xml:space="preserve">Wskaźnik S/F przewoźników niskokosztowych w ruchu międzynarodowym w </w:t>
      </w:r>
      <w:r w:rsidR="009D0D22">
        <w:t>pierwszym kwartale 2025</w:t>
      </w:r>
      <w:r w:rsidR="004C6198">
        <w:t xml:space="preserve"> roku</w:t>
      </w:r>
      <w:r w:rsidRPr="007D383E">
        <w:t xml:space="preserve"> wyniósł </w:t>
      </w:r>
      <w:r w:rsidR="009D0D22">
        <w:t>87,</w:t>
      </w:r>
      <w:r w:rsidR="00BD5EDA">
        <w:t>3</w:t>
      </w:r>
      <w:r w:rsidRPr="007D383E">
        <w:t xml:space="preserve">%, </w:t>
      </w:r>
      <w:r w:rsidR="00235511">
        <w:t xml:space="preserve">a LF </w:t>
      </w:r>
      <w:r w:rsidR="009D0D22">
        <w:t>88,9</w:t>
      </w:r>
      <w:r w:rsidR="00235511">
        <w:t>%</w:t>
      </w:r>
      <w:r w:rsidRPr="007D383E">
        <w:t>.</w:t>
      </w:r>
      <w:r w:rsidR="009D0D22">
        <w:t xml:space="preserve"> </w:t>
      </w:r>
      <w:r w:rsidRPr="007D383E">
        <w:t xml:space="preserve">Wskaźnik S/F przewoźników niskokosztowych wzrósł </w:t>
      </w:r>
      <w:r w:rsidR="00BD5EDA">
        <w:t>3,1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="00235511">
        <w:t xml:space="preserve"> w</w:t>
      </w:r>
      <w:r w:rsidR="009D0D22">
        <w:t xml:space="preserve"> porównaniu do pierwszego kwartału</w:t>
      </w:r>
      <w:r w:rsidR="00235511">
        <w:t> </w:t>
      </w:r>
      <w:r w:rsidRPr="007D383E">
        <w:t xml:space="preserve">2024 roku, podczas gdy LF </w:t>
      </w:r>
      <w:r w:rsidR="009D0D22">
        <w:t>wzrósł o 2</w:t>
      </w:r>
      <w:r w:rsidR="004C6198">
        <w:t xml:space="preserve">,6 </w:t>
      </w:r>
      <w:r w:rsidR="004C6198">
        <w:rPr>
          <w:rFonts w:cstheme="minorHAnsi"/>
          <w:szCs w:val="24"/>
        </w:rPr>
        <w:t>punktu procentowego</w:t>
      </w:r>
      <w:r w:rsidRPr="007D383E">
        <w:t>.</w:t>
      </w:r>
      <w:r w:rsidR="0056061B" w:rsidRPr="007D383E">
        <w:t xml:space="preserve"> </w:t>
      </w:r>
    </w:p>
    <w:p w14:paraId="46F5D457" w14:textId="0509434D" w:rsidR="002E4EA4" w:rsidRPr="007D383E" w:rsidRDefault="00437EE7" w:rsidP="00437EE7">
      <w:pPr>
        <w:rPr>
          <w:rFonts w:cstheme="minorHAnsi"/>
          <w:szCs w:val="24"/>
        </w:rPr>
      </w:pPr>
      <w:r w:rsidRPr="007D383E">
        <w:t xml:space="preserve">Z kolei wskaźnik S/F przewoźników sieciowych w ruchu międzynarodowym w </w:t>
      </w:r>
      <w:r w:rsidR="009D0D22">
        <w:t xml:space="preserve">pierwszym kwartale 2025 </w:t>
      </w:r>
      <w:r w:rsidR="004C6198">
        <w:t>roku</w:t>
      </w:r>
      <w:r w:rsidRPr="007D383E">
        <w:t xml:space="preserve"> wyniósł </w:t>
      </w:r>
      <w:r w:rsidR="00BD5EDA">
        <w:t>76,3</w:t>
      </w:r>
      <w:r w:rsidRPr="007D383E">
        <w:t xml:space="preserve">%, a LF </w:t>
      </w:r>
      <w:r w:rsidR="00BD5EDA">
        <w:t>82</w:t>
      </w:r>
      <w:r w:rsidRPr="007D383E">
        <w:t xml:space="preserve">%. </w:t>
      </w:r>
      <w:r w:rsidR="009D0D22">
        <w:t>O</w:t>
      </w:r>
      <w:r w:rsidR="004C6198">
        <w:t>dnotowano zatem spadek S/F</w:t>
      </w:r>
      <w:r w:rsidR="00BD5EDA">
        <w:t xml:space="preserve"> oraz LF</w:t>
      </w:r>
      <w:r w:rsidR="004C6198">
        <w:t xml:space="preserve"> </w:t>
      </w:r>
      <w:r w:rsidR="009D0D22">
        <w:t>w porównaniu do pierwszego kwartału </w:t>
      </w:r>
      <w:r w:rsidR="009D0D22" w:rsidRPr="007D383E">
        <w:t xml:space="preserve">2024 roku </w:t>
      </w:r>
      <w:r w:rsidRPr="007D383E">
        <w:t xml:space="preserve">o </w:t>
      </w:r>
      <w:r w:rsidR="00BD5EDA">
        <w:t>1,5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Pr="007D383E">
        <w:t>.</w:t>
      </w:r>
      <w:r w:rsidR="0056061B" w:rsidRPr="007D383E">
        <w:t xml:space="preserve"> </w:t>
      </w:r>
    </w:p>
    <w:p w14:paraId="5FDFE5CB" w14:textId="77777777" w:rsidR="00336778" w:rsidRPr="007D383E" w:rsidRDefault="00336778" w:rsidP="00336778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B5ACE21" wp14:editId="130985DC">
            <wp:extent cx="3600000" cy="1922400"/>
            <wp:effectExtent l="0" t="0" r="635" b="1905"/>
            <wp:docPr id="82" name="Wykres 82" descr="Wykres przedstawia porównanie dynamiki ruchu międzynarodowego przewoźników niskokosztowych i sieciowych w minionych kwartałach roku bieżącego i poprzedniego. Dane przedstawione w Tabeli 17.1 poniżej." title="Wykres 17.1 Porównanie dynamiki ruchu międzynarod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B7F94EF" w14:textId="6F0B133F" w:rsidR="00336778" w:rsidRPr="007D383E" w:rsidRDefault="00336778" w:rsidP="00336778">
      <w:pPr>
        <w:pStyle w:val="Legenda"/>
        <w:rPr>
          <w:rFonts w:cstheme="minorHAnsi"/>
          <w:szCs w:val="24"/>
        </w:rPr>
      </w:pPr>
      <w:bookmarkStart w:id="76" w:name="_Toc20053494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Porównanie dynamiki ruchu międzynarodowego przewoźników LCC i sieciowych – wykres przedstawia porównanie dynamiki ruchu międzynarodowego </w:t>
      </w:r>
      <w:r w:rsidR="00F27BCD" w:rsidRPr="007D383E">
        <w:rPr>
          <w:noProof/>
        </w:rPr>
        <w:t xml:space="preserve">dla </w:t>
      </w:r>
      <w:r w:rsidRPr="007D383E">
        <w:rPr>
          <w:noProof/>
        </w:rPr>
        <w:t xml:space="preserve">przewoźników niskokosztowych i sieciowych w </w:t>
      </w:r>
      <w:r w:rsidR="00B035D6">
        <w:rPr>
          <w:noProof/>
        </w:rPr>
        <w:t xml:space="preserve">pierwszym kwartale </w:t>
      </w:r>
      <w:r w:rsidR="00A2095D" w:rsidRPr="007D383E">
        <w:rPr>
          <w:noProof/>
        </w:rPr>
        <w:t>202</w:t>
      </w:r>
      <w:r w:rsidR="00B035D6">
        <w:rPr>
          <w:noProof/>
        </w:rPr>
        <w:t>5</w:t>
      </w:r>
      <w:r w:rsidR="00A2095D" w:rsidRPr="007D383E">
        <w:rPr>
          <w:noProof/>
        </w:rPr>
        <w:t xml:space="preserve"> i 202</w:t>
      </w:r>
      <w:r w:rsidR="00B035D6">
        <w:rPr>
          <w:noProof/>
        </w:rPr>
        <w:t>4</w:t>
      </w:r>
      <w:r w:rsidRPr="007D383E">
        <w:rPr>
          <w:noProof/>
        </w:rPr>
        <w:t xml:space="preserve"> roku.</w:t>
      </w:r>
      <w:bookmarkEnd w:id="76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2E4EA4" w:rsidRPr="007D383E" w14:paraId="41AC9EA7" w14:textId="77777777" w:rsidTr="00AB3727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8155C9" w14:textId="77777777" w:rsidR="002E4EA4" w:rsidRPr="007D383E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C4EC5D" w14:textId="77777777" w:rsidR="002E4EA4" w:rsidRPr="007D383E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B035D6" w:rsidRPr="007D383E" w14:paraId="45A7E557" w14:textId="77777777" w:rsidTr="00E56D15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4F31AE" w14:textId="77777777" w:rsidR="00B035D6" w:rsidRPr="007D383E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77319ED9" w14:textId="5BCD037B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12,80%</w:t>
            </w:r>
          </w:p>
        </w:tc>
      </w:tr>
      <w:tr w:rsidR="00B035D6" w:rsidRPr="007D383E" w14:paraId="7A1D7541" w14:textId="77777777" w:rsidTr="00E56D15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1613D8" w14:textId="77777777" w:rsidR="00B035D6" w:rsidRPr="007D383E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4B042C1F" w14:textId="48E60C20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11,48%</w:t>
            </w:r>
          </w:p>
        </w:tc>
      </w:tr>
    </w:tbl>
    <w:p w14:paraId="57283034" w14:textId="0537CE06" w:rsidR="00AB3727" w:rsidRPr="007D383E" w:rsidRDefault="00AB3727">
      <w:pPr>
        <w:pStyle w:val="Legenda"/>
      </w:pPr>
      <w:bookmarkStart w:id="77" w:name="_Toc20053855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A50ED3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Porównanie dynamiki ruchu</w:t>
      </w:r>
      <w:r w:rsidR="00F5163A" w:rsidRPr="007D383E">
        <w:rPr>
          <w:noProof/>
        </w:rPr>
        <w:t xml:space="preserve"> przewoźników LCC i sieciowych</w:t>
      </w:r>
      <w:bookmarkEnd w:id="77"/>
    </w:p>
    <w:p w14:paraId="3BCE22D1" w14:textId="77777777" w:rsidR="00F27BCD" w:rsidRPr="007D383E" w:rsidRDefault="00F27BCD" w:rsidP="00F27BCD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C914365" wp14:editId="6F610EFA">
            <wp:extent cx="3600000" cy="1922400"/>
            <wp:effectExtent l="0" t="0" r="635" b="1905"/>
            <wp:docPr id="83" name="Wykres 83" descr="Wykres przedstawia porównanie zmian punktów procentowych wskaźnika LF w ruchu międzynarodowym dla przewoźników niskokosztowych i sieciowych w minionych kwartałach roku bieżącego i poprzedniego. Dane przedstawione w Tabeli 17.2 poniżej." title="Wykres 17.2 Porównanie zmian punktów procentowych L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E1A834A" w14:textId="43656991" w:rsidR="00F27BCD" w:rsidRPr="007D383E" w:rsidRDefault="00F27BCD" w:rsidP="00F27BCD">
      <w:pPr>
        <w:pStyle w:val="Legenda"/>
        <w:rPr>
          <w:rFonts w:cstheme="minorHAnsi"/>
          <w:szCs w:val="24"/>
        </w:rPr>
      </w:pPr>
      <w:bookmarkStart w:id="78" w:name="_Toc200534945"/>
      <w:r w:rsidRPr="007D383E">
        <w:rPr>
          <w:b/>
        </w:rPr>
        <w:t xml:space="preserve">Wykres 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STYLEREF 1 \s </w:instrText>
      </w:r>
      <w:r w:rsidRPr="007D383E">
        <w:rPr>
          <w:b/>
        </w:rPr>
        <w:fldChar w:fldCharType="separate"/>
      </w:r>
      <w:r w:rsidR="00A50ED3">
        <w:rPr>
          <w:b/>
          <w:noProof/>
        </w:rPr>
        <w:t>17</w:t>
      </w:r>
      <w:r w:rsidRPr="007D383E">
        <w:rPr>
          <w:b/>
        </w:rPr>
        <w:fldChar w:fldCharType="end"/>
      </w:r>
      <w:r w:rsidRPr="007D383E">
        <w:rPr>
          <w:b/>
        </w:rPr>
        <w:t>.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SEQ Wykres \* ARABIC \s 1 </w:instrText>
      </w:r>
      <w:r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Pr="007D383E">
        <w:rPr>
          <w:b/>
        </w:rPr>
        <w:fldChar w:fldCharType="end"/>
      </w:r>
      <w:r w:rsidRPr="007D383E">
        <w:rPr>
          <w:noProof/>
        </w:rPr>
        <w:t xml:space="preserve"> Porównanie zmian punktów procentowych LF w ruchu międzynarodowym dla przewoźników LCC i sieciowych – wykres przedstawia porównanie zmian punktów procentowych wskaźnika LF w ruchu międzynarodowym dla przewoźników niskokosztowych i sieciowych w</w:t>
      </w:r>
      <w:r w:rsidR="00B035D6">
        <w:rPr>
          <w:noProof/>
        </w:rPr>
        <w:t xml:space="preserve"> pierwszym kwartale 2025</w:t>
      </w:r>
      <w:r w:rsidR="00A2095D" w:rsidRPr="007D383E">
        <w:rPr>
          <w:noProof/>
        </w:rPr>
        <w:t xml:space="preserve"> i</w:t>
      </w:r>
      <w:r w:rsidR="00DB0388">
        <w:rPr>
          <w:noProof/>
        </w:rPr>
        <w:t> </w:t>
      </w:r>
      <w:r w:rsidR="00A2095D" w:rsidRPr="007D383E">
        <w:rPr>
          <w:noProof/>
        </w:rPr>
        <w:t>202</w:t>
      </w:r>
      <w:r w:rsidR="00B035D6">
        <w:rPr>
          <w:noProof/>
        </w:rPr>
        <w:t>4</w:t>
      </w:r>
      <w:r w:rsidRPr="007D383E">
        <w:rPr>
          <w:noProof/>
        </w:rPr>
        <w:t xml:space="preserve"> roku.</w:t>
      </w:r>
      <w:bookmarkEnd w:id="78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2E4EA4" w:rsidRPr="007D383E" w14:paraId="38EB819C" w14:textId="77777777" w:rsidTr="005C03F8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2BA625" w14:textId="77777777" w:rsidR="002E4EA4" w:rsidRPr="007D383E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91A173" w14:textId="77777777" w:rsidR="002E4EA4" w:rsidRPr="007D383E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B035D6" w:rsidRPr="007D383E" w14:paraId="50E16AA8" w14:textId="77777777" w:rsidTr="00E56D15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D8066D" w14:textId="77777777" w:rsidR="00B035D6" w:rsidRPr="007D383E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B6BC0" w14:textId="3FAC79E0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-1,48%</w:t>
            </w:r>
          </w:p>
        </w:tc>
      </w:tr>
      <w:tr w:rsidR="00B035D6" w:rsidRPr="007D383E" w14:paraId="12A456B1" w14:textId="77777777" w:rsidTr="00E56D15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C59AED" w14:textId="77777777" w:rsidR="00B035D6" w:rsidRPr="007D383E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56585" w14:textId="76FBED86" w:rsidR="00B035D6" w:rsidRPr="00B035D6" w:rsidRDefault="00B035D6" w:rsidP="00B035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035D6">
              <w:rPr>
                <w:color w:val="283772"/>
              </w:rPr>
              <w:t>2,56%</w:t>
            </w:r>
          </w:p>
        </w:tc>
      </w:tr>
    </w:tbl>
    <w:p w14:paraId="459E80B1" w14:textId="31F2BF13" w:rsidR="005C03F8" w:rsidRPr="007D383E" w:rsidRDefault="005C03F8" w:rsidP="005C03F8">
      <w:pPr>
        <w:pStyle w:val="Legenda"/>
        <w:rPr>
          <w:noProof/>
        </w:rPr>
      </w:pPr>
      <w:bookmarkStart w:id="79" w:name="_Toc200538551"/>
      <w:r w:rsidRPr="007D383E">
        <w:rPr>
          <w:b/>
        </w:rPr>
        <w:t xml:space="preserve">Tabela 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STYLEREF 1 \s </w:instrText>
      </w:r>
      <w:r w:rsidRPr="007D383E">
        <w:rPr>
          <w:b/>
        </w:rPr>
        <w:fldChar w:fldCharType="separate"/>
      </w:r>
      <w:r w:rsidR="00A50ED3">
        <w:rPr>
          <w:b/>
          <w:noProof/>
        </w:rPr>
        <w:t>17</w:t>
      </w:r>
      <w:r w:rsidRPr="007D383E">
        <w:rPr>
          <w:b/>
        </w:rPr>
        <w:fldChar w:fldCharType="end"/>
      </w:r>
      <w:r w:rsidRPr="007D383E">
        <w:rPr>
          <w:b/>
        </w:rPr>
        <w:t>.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SEQ Tabela \* ARABIC \s 1 </w:instrText>
      </w:r>
      <w:r w:rsidRPr="007D383E">
        <w:rPr>
          <w:b/>
        </w:rPr>
        <w:fldChar w:fldCharType="separate"/>
      </w:r>
      <w:r w:rsidR="00A50ED3">
        <w:rPr>
          <w:b/>
          <w:noProof/>
        </w:rPr>
        <w:t>2</w:t>
      </w:r>
      <w:r w:rsidRPr="007D383E">
        <w:rPr>
          <w:b/>
        </w:rPr>
        <w:fldChar w:fldCharType="end"/>
      </w:r>
      <w:r w:rsidRPr="007D383E">
        <w:rPr>
          <w:noProof/>
        </w:rPr>
        <w:t xml:space="preserve"> Porównanie zmian punktów procentowych LF</w:t>
      </w:r>
      <w:r w:rsidR="00F5163A" w:rsidRPr="007D383E">
        <w:rPr>
          <w:noProof/>
        </w:rPr>
        <w:t xml:space="preserve"> </w:t>
      </w:r>
      <w:r w:rsidR="00F27BCD" w:rsidRPr="007D383E">
        <w:rPr>
          <w:noProof/>
        </w:rPr>
        <w:t xml:space="preserve">w ruchu międzynarodowym dla </w:t>
      </w:r>
      <w:r w:rsidR="00F5163A" w:rsidRPr="007D383E">
        <w:rPr>
          <w:noProof/>
        </w:rPr>
        <w:t>przewoźników LCC i sieciowych</w:t>
      </w:r>
      <w:bookmarkEnd w:id="79"/>
    </w:p>
    <w:p w14:paraId="6CBBEF93" w14:textId="77777777" w:rsidR="005C03F8" w:rsidRPr="007D383E" w:rsidRDefault="005C03F8">
      <w:pPr>
        <w:spacing w:line="259" w:lineRule="auto"/>
        <w:rPr>
          <w:i/>
          <w:iCs/>
          <w:noProof/>
          <w:sz w:val="22"/>
          <w:szCs w:val="18"/>
        </w:rPr>
      </w:pPr>
      <w:r w:rsidRPr="007D383E">
        <w:rPr>
          <w:noProof/>
        </w:rPr>
        <w:br w:type="page"/>
      </w:r>
    </w:p>
    <w:p w14:paraId="00E2BC1D" w14:textId="77777777" w:rsidR="005C03F8" w:rsidRPr="007D383E" w:rsidRDefault="00251929" w:rsidP="00251929">
      <w:pPr>
        <w:pStyle w:val="Nagwek1"/>
        <w:rPr>
          <w:noProof/>
        </w:rPr>
      </w:pPr>
      <w:bookmarkStart w:id="80" w:name="_Toc200533909"/>
      <w:r w:rsidRPr="007D383E">
        <w:rPr>
          <w:noProof/>
        </w:rPr>
        <w:lastRenderedPageBreak/>
        <w:t>Spis wykresów</w:t>
      </w:r>
      <w:bookmarkEnd w:id="80"/>
    </w:p>
    <w:p w14:paraId="4F3619A5" w14:textId="7D3DAE3F" w:rsidR="00A50ED3" w:rsidRDefault="005C03F8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7D383E">
        <w:rPr>
          <w:i/>
          <w:noProof/>
        </w:rPr>
        <w:fldChar w:fldCharType="begin"/>
      </w:r>
      <w:r w:rsidRPr="007D383E">
        <w:rPr>
          <w:i/>
          <w:noProof/>
        </w:rPr>
        <w:instrText xml:space="preserve"> TOC \h \z \c "Wykres" </w:instrText>
      </w:r>
      <w:r w:rsidRPr="007D383E">
        <w:rPr>
          <w:i/>
          <w:noProof/>
        </w:rPr>
        <w:fldChar w:fldCharType="separate"/>
      </w:r>
      <w:hyperlink w:anchor="_Toc200534919" w:history="1">
        <w:r w:rsidR="00A50ED3" w:rsidRPr="000A5128">
          <w:rPr>
            <w:rStyle w:val="Hipercze"/>
            <w:b/>
            <w:noProof/>
          </w:rPr>
          <w:t>Wykres 3.1</w:t>
        </w:r>
        <w:r w:rsidR="00A50ED3" w:rsidRPr="000A5128">
          <w:rPr>
            <w:rStyle w:val="Hipercze"/>
            <w:noProof/>
          </w:rPr>
          <w:t xml:space="preserve"> Liczba pasażerów (mln) .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_Toc200534919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6</w:t>
        </w:r>
        <w:r w:rsidR="00A50ED3">
          <w:rPr>
            <w:noProof/>
            <w:webHidden/>
          </w:rPr>
          <w:fldChar w:fldCharType="end"/>
        </w:r>
      </w:hyperlink>
    </w:p>
    <w:p w14:paraId="6982BAB0" w14:textId="38F1E7FC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0" w:history="1">
        <w:r w:rsidR="00A50ED3" w:rsidRPr="000A5128">
          <w:rPr>
            <w:rStyle w:val="Hipercze"/>
            <w:b/>
            <w:noProof/>
          </w:rPr>
          <w:t>Wykres 4.1</w:t>
        </w:r>
        <w:r w:rsidR="00A50ED3">
          <w:rPr>
            <w:rStyle w:val="Hipercze"/>
            <w:noProof/>
          </w:rPr>
          <w:t xml:space="preserve"> Liczba operacji (tys.)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_Toc200534920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7</w:t>
        </w:r>
        <w:r w:rsidR="00A50ED3">
          <w:rPr>
            <w:noProof/>
            <w:webHidden/>
          </w:rPr>
          <w:fldChar w:fldCharType="end"/>
        </w:r>
      </w:hyperlink>
    </w:p>
    <w:p w14:paraId="5740D36B" w14:textId="4DB5CC48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1" w:history="1">
        <w:r w:rsidR="00A50ED3" w:rsidRPr="000A5128">
          <w:rPr>
            <w:rStyle w:val="Hipercze"/>
            <w:b/>
            <w:noProof/>
          </w:rPr>
          <w:t>Wykres 5.1</w:t>
        </w:r>
        <w:r w:rsidR="00A50ED3" w:rsidRPr="000A5128">
          <w:rPr>
            <w:rStyle w:val="Hipercze"/>
            <w:noProof/>
          </w:rPr>
          <w:t xml:space="preserve"> Ilość cargo „on board” (tys. ton)</w:t>
        </w:r>
        <w:r w:rsidR="00A50ED3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_Toc200534921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8</w:t>
        </w:r>
        <w:r w:rsidR="00A50ED3">
          <w:rPr>
            <w:noProof/>
            <w:webHidden/>
          </w:rPr>
          <w:fldChar w:fldCharType="end"/>
        </w:r>
      </w:hyperlink>
    </w:p>
    <w:p w14:paraId="6CFB95C5" w14:textId="6FEE277C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2" w:history="1">
        <w:r w:rsidR="00A50ED3" w:rsidRPr="000A5128">
          <w:rPr>
            <w:rStyle w:val="Hipercze"/>
            <w:b/>
            <w:noProof/>
          </w:rPr>
          <w:t>Wykres 6.1</w:t>
        </w:r>
        <w:r w:rsidR="00A50ED3" w:rsidRPr="000A5128">
          <w:rPr>
            <w:rStyle w:val="Hipercze"/>
            <w:noProof/>
          </w:rPr>
          <w:t xml:space="preserve"> Dynamika ruchu 2025 vs. 2024</w:t>
        </w:r>
        <w:r w:rsidR="00A50ED3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_Toc200534922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9</w:t>
        </w:r>
        <w:r w:rsidR="00A50ED3">
          <w:rPr>
            <w:noProof/>
            <w:webHidden/>
          </w:rPr>
          <w:fldChar w:fldCharType="end"/>
        </w:r>
      </w:hyperlink>
    </w:p>
    <w:p w14:paraId="0AADA7F9" w14:textId="55D3EBE3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3" w:history="1">
        <w:r w:rsidR="00A50ED3" w:rsidRPr="000A5128">
          <w:rPr>
            <w:rStyle w:val="Hipercze"/>
            <w:b/>
            <w:noProof/>
          </w:rPr>
          <w:t>Wykres 6.2</w:t>
        </w:r>
        <w:r w:rsidR="00A50ED3" w:rsidRPr="000A5128">
          <w:rPr>
            <w:rStyle w:val="Hipercze"/>
            <w:noProof/>
          </w:rPr>
          <w:t xml:space="preserve"> Dynamika ruchu 2025 vs. 2023</w:t>
        </w:r>
        <w:r w:rsidR="00A50ED3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_Toc200534923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9</w:t>
        </w:r>
        <w:r w:rsidR="00A50ED3">
          <w:rPr>
            <w:noProof/>
            <w:webHidden/>
          </w:rPr>
          <w:fldChar w:fldCharType="end"/>
        </w:r>
      </w:hyperlink>
    </w:p>
    <w:p w14:paraId="4311A33E" w14:textId="4EE1089D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4" w:history="1">
        <w:r w:rsidR="00A50ED3" w:rsidRPr="000A5128">
          <w:rPr>
            <w:rStyle w:val="Hipercze"/>
            <w:b/>
            <w:noProof/>
          </w:rPr>
          <w:t>Wykres 6.3</w:t>
        </w:r>
        <w:r w:rsidR="00A50ED3" w:rsidRPr="000A5128">
          <w:rPr>
            <w:rStyle w:val="Hipercze"/>
            <w:noProof/>
          </w:rPr>
          <w:t xml:space="preserve"> Miesięczne przewozy pasażerskie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_Toc200534924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10</w:t>
        </w:r>
        <w:r w:rsidR="00A50ED3">
          <w:rPr>
            <w:noProof/>
            <w:webHidden/>
          </w:rPr>
          <w:fldChar w:fldCharType="end"/>
        </w:r>
      </w:hyperlink>
    </w:p>
    <w:p w14:paraId="16B06CAC" w14:textId="74DEA135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5" w:history="1">
        <w:r w:rsidR="00A50ED3" w:rsidRPr="000A5128">
          <w:rPr>
            <w:rStyle w:val="Hipercze"/>
            <w:b/>
            <w:noProof/>
          </w:rPr>
          <w:t>Wykres 7.1</w:t>
        </w:r>
        <w:r w:rsidR="00A50ED3" w:rsidRPr="000A5128">
          <w:rPr>
            <w:rStyle w:val="Hipercze"/>
            <w:noProof/>
          </w:rPr>
          <w:t xml:space="preserve"> Dynamika całego rynku</w:t>
        </w:r>
        <w:r w:rsidR="00A50ED3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_Toc200534925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11</w:t>
        </w:r>
        <w:r w:rsidR="00A50ED3">
          <w:rPr>
            <w:noProof/>
            <w:webHidden/>
          </w:rPr>
          <w:fldChar w:fldCharType="end"/>
        </w:r>
      </w:hyperlink>
    </w:p>
    <w:p w14:paraId="0945D296" w14:textId="569C48D1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6" w:history="1">
        <w:r w:rsidR="00A50ED3" w:rsidRPr="000A5128">
          <w:rPr>
            <w:rStyle w:val="Hipercze"/>
            <w:b/>
            <w:noProof/>
          </w:rPr>
          <w:t>Wykres 7.2</w:t>
        </w:r>
        <w:r w:rsidR="00A50ED3" w:rsidRPr="000A5128">
          <w:rPr>
            <w:rStyle w:val="Hipercze"/>
            <w:noProof/>
          </w:rPr>
          <w:t xml:space="preserve"> Dynamika portów obsługujących 10-25 mln pasażerów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_Toc200534926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12</w:t>
        </w:r>
        <w:r w:rsidR="00A50ED3">
          <w:rPr>
            <w:noProof/>
            <w:webHidden/>
          </w:rPr>
          <w:fldChar w:fldCharType="end"/>
        </w:r>
      </w:hyperlink>
    </w:p>
    <w:p w14:paraId="56AC7EA3" w14:textId="3E4746D7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7" w:history="1">
        <w:r w:rsidR="00A50ED3" w:rsidRPr="000A5128">
          <w:rPr>
            <w:rStyle w:val="Hipercze"/>
            <w:b/>
            <w:noProof/>
          </w:rPr>
          <w:t>Wykres 7.3</w:t>
        </w:r>
        <w:r w:rsidR="00A50ED3" w:rsidRPr="000A5128">
          <w:rPr>
            <w:rStyle w:val="Hipercze"/>
            <w:noProof/>
          </w:rPr>
          <w:t xml:space="preserve"> Dynamika portów obsługujących 1-10 mln pasażerów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_Toc200534927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13</w:t>
        </w:r>
        <w:r w:rsidR="00A50ED3">
          <w:rPr>
            <w:noProof/>
            <w:webHidden/>
          </w:rPr>
          <w:fldChar w:fldCharType="end"/>
        </w:r>
      </w:hyperlink>
    </w:p>
    <w:p w14:paraId="32830B42" w14:textId="7E947C26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8" w:history="1">
        <w:r w:rsidR="00A50ED3" w:rsidRPr="000A5128">
          <w:rPr>
            <w:rStyle w:val="Hipercze"/>
            <w:b/>
            <w:noProof/>
          </w:rPr>
          <w:t>Wykres 7.4</w:t>
        </w:r>
        <w:r w:rsidR="00A50ED3" w:rsidRPr="000A5128">
          <w:rPr>
            <w:rStyle w:val="Hipercze"/>
            <w:noProof/>
          </w:rPr>
          <w:t xml:space="preserve"> Dynamika portów obsługujących poniżej 1 mln pasażerów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_Toc200534928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14</w:t>
        </w:r>
        <w:r w:rsidR="00A50ED3">
          <w:rPr>
            <w:noProof/>
            <w:webHidden/>
          </w:rPr>
          <w:fldChar w:fldCharType="end"/>
        </w:r>
      </w:hyperlink>
    </w:p>
    <w:p w14:paraId="6853A6DC" w14:textId="4B254296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29" w:history="1">
        <w:r w:rsidR="00A50ED3" w:rsidRPr="000A5128">
          <w:rPr>
            <w:rStyle w:val="Hipercze"/>
            <w:b/>
            <w:noProof/>
          </w:rPr>
          <w:t>Wykres 7.5</w:t>
        </w:r>
        <w:r w:rsidR="00A50ED3" w:rsidRPr="000A5128">
          <w:rPr>
            <w:rStyle w:val="Hipercze"/>
            <w:noProof/>
          </w:rPr>
          <w:t xml:space="preserve"> Zmiana przewozów pasażerskich</w:t>
        </w:r>
        <w:r w:rsidR="00A50ED3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_Toc200534929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15</w:t>
        </w:r>
        <w:r w:rsidR="00A50ED3">
          <w:rPr>
            <w:noProof/>
            <w:webHidden/>
          </w:rPr>
          <w:fldChar w:fldCharType="end"/>
        </w:r>
      </w:hyperlink>
    </w:p>
    <w:p w14:paraId="6C35357D" w14:textId="52F32725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0" w:history="1">
        <w:r w:rsidR="00A50ED3" w:rsidRPr="000A5128">
          <w:rPr>
            <w:rStyle w:val="Hipercze"/>
            <w:b/>
            <w:noProof/>
          </w:rPr>
          <w:t>Wykres 8.1</w:t>
        </w:r>
        <w:r w:rsidR="00A50ED3">
          <w:rPr>
            <w:rStyle w:val="Hipercze"/>
            <w:noProof/>
          </w:rPr>
          <w:t xml:space="preserve"> Przewozy międzynarodowe</w:t>
        </w:r>
        <w:r w:rsidR="009844DA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_Toc200534930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16</w:t>
        </w:r>
        <w:r w:rsidR="00A50ED3">
          <w:rPr>
            <w:noProof/>
            <w:webHidden/>
          </w:rPr>
          <w:fldChar w:fldCharType="end"/>
        </w:r>
      </w:hyperlink>
    </w:p>
    <w:p w14:paraId="5051E802" w14:textId="473063C9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1" w:history="1">
        <w:r w:rsidR="00A50ED3" w:rsidRPr="000A5128">
          <w:rPr>
            <w:rStyle w:val="Hipercze"/>
            <w:b/>
            <w:noProof/>
          </w:rPr>
          <w:t>Wykres 9.1</w:t>
        </w:r>
        <w:r w:rsidR="00A50ED3" w:rsidRPr="000A5128">
          <w:rPr>
            <w:rStyle w:val="Hipercze"/>
            <w:noProof/>
          </w:rPr>
          <w:t xml:space="preserve"> Przewozy krajowe</w:t>
        </w:r>
        <w:r w:rsidR="009844DA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_Toc200534931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17</w:t>
        </w:r>
        <w:r w:rsidR="00A50ED3">
          <w:rPr>
            <w:noProof/>
            <w:webHidden/>
          </w:rPr>
          <w:fldChar w:fldCharType="end"/>
        </w:r>
      </w:hyperlink>
    </w:p>
    <w:p w14:paraId="713E6845" w14:textId="5E4A676D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2" w:history="1">
        <w:r w:rsidR="00A50ED3" w:rsidRPr="000A5128">
          <w:rPr>
            <w:rStyle w:val="Hipercze"/>
            <w:b/>
            <w:noProof/>
          </w:rPr>
          <w:t>Wykres 10.1</w:t>
        </w:r>
        <w:r w:rsidR="00A50ED3" w:rsidRPr="000A5128">
          <w:rPr>
            <w:rStyle w:val="Hipercze"/>
            <w:noProof/>
          </w:rPr>
          <w:t xml:space="preserve"> Liczba pasażerów regularnych (mln)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_Toc200534932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18</w:t>
        </w:r>
        <w:r w:rsidR="00A50ED3">
          <w:rPr>
            <w:noProof/>
            <w:webHidden/>
          </w:rPr>
          <w:fldChar w:fldCharType="end"/>
        </w:r>
      </w:hyperlink>
    </w:p>
    <w:p w14:paraId="02330D37" w14:textId="14EA3FEB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3" w:history="1">
        <w:r w:rsidR="00A50ED3" w:rsidRPr="000A5128">
          <w:rPr>
            <w:rStyle w:val="Hipercze"/>
            <w:b/>
            <w:noProof/>
          </w:rPr>
          <w:t>Wykres 10.2</w:t>
        </w:r>
        <w:r w:rsidR="00A50ED3" w:rsidRPr="000A5128">
          <w:rPr>
            <w:rStyle w:val="Hipercze"/>
            <w:noProof/>
          </w:rPr>
          <w:t xml:space="preserve"> Dynamika ruchu regularnego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_Toc200534933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19</w:t>
        </w:r>
        <w:r w:rsidR="00A50ED3">
          <w:rPr>
            <w:noProof/>
            <w:webHidden/>
          </w:rPr>
          <w:fldChar w:fldCharType="end"/>
        </w:r>
      </w:hyperlink>
    </w:p>
    <w:p w14:paraId="7B8EAB0D" w14:textId="528F79C0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4" w:history="1">
        <w:r w:rsidR="00A50ED3" w:rsidRPr="000A5128">
          <w:rPr>
            <w:rStyle w:val="Hipercze"/>
            <w:b/>
            <w:noProof/>
          </w:rPr>
          <w:t>Wykres 11.1</w:t>
        </w:r>
        <w:r w:rsidR="00A50ED3" w:rsidRPr="000A5128">
          <w:rPr>
            <w:rStyle w:val="Hipercze"/>
            <w:noProof/>
          </w:rPr>
          <w:t xml:space="preserve"> Liczba pasażerów czarterowych (mln)</w:t>
        </w:r>
        <w:r w:rsidR="009844DA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_Toc200534934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20</w:t>
        </w:r>
        <w:r w:rsidR="00A50ED3">
          <w:rPr>
            <w:noProof/>
            <w:webHidden/>
          </w:rPr>
          <w:fldChar w:fldCharType="end"/>
        </w:r>
      </w:hyperlink>
    </w:p>
    <w:p w14:paraId="2B451B25" w14:textId="68AFF138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5" w:history="1">
        <w:r w:rsidR="00A50ED3" w:rsidRPr="000A5128">
          <w:rPr>
            <w:rStyle w:val="Hipercze"/>
            <w:b/>
            <w:noProof/>
          </w:rPr>
          <w:t>Wykres 11.2</w:t>
        </w:r>
        <w:r w:rsidR="00A50ED3" w:rsidRPr="000A5128">
          <w:rPr>
            <w:rStyle w:val="Hipercze"/>
            <w:noProof/>
          </w:rPr>
          <w:t xml:space="preserve"> Dynamika ruchu czarterowego</w:t>
        </w:r>
        <w:r w:rsidR="009844DA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_Toc200534935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20</w:t>
        </w:r>
        <w:r w:rsidR="00A50ED3">
          <w:rPr>
            <w:noProof/>
            <w:webHidden/>
          </w:rPr>
          <w:fldChar w:fldCharType="end"/>
        </w:r>
      </w:hyperlink>
    </w:p>
    <w:p w14:paraId="152F29F1" w14:textId="408B1CA6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6" w:history="1">
        <w:r w:rsidR="00A50ED3" w:rsidRPr="000A5128">
          <w:rPr>
            <w:rStyle w:val="Hipercze"/>
            <w:b/>
            <w:noProof/>
          </w:rPr>
          <w:t>Wykres 12.1</w:t>
        </w:r>
        <w:r w:rsidR="00A50ED3" w:rsidRPr="000A5128">
          <w:rPr>
            <w:rStyle w:val="Hipercze"/>
            <w:noProof/>
          </w:rPr>
          <w:t xml:space="preserve"> RPKM (mln)</w:t>
        </w:r>
        <w:r w:rsidR="009844DA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_Toc200534936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21</w:t>
        </w:r>
        <w:r w:rsidR="00A50ED3">
          <w:rPr>
            <w:noProof/>
            <w:webHidden/>
          </w:rPr>
          <w:fldChar w:fldCharType="end"/>
        </w:r>
      </w:hyperlink>
    </w:p>
    <w:p w14:paraId="4D68D1AD" w14:textId="531D3C77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7" w:history="1">
        <w:r w:rsidR="00A50ED3" w:rsidRPr="000A5128">
          <w:rPr>
            <w:rStyle w:val="Hipercze"/>
            <w:b/>
            <w:noProof/>
          </w:rPr>
          <w:t>Wykres 12.2</w:t>
        </w:r>
        <w:r w:rsidR="00A50ED3" w:rsidRPr="000A5128">
          <w:rPr>
            <w:rStyle w:val="Hipercze"/>
            <w:noProof/>
          </w:rPr>
          <w:t xml:space="preserve"> RPKM porównanie z IATA</w:t>
        </w:r>
        <w:r w:rsidR="009844DA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_Toc200534937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22</w:t>
        </w:r>
        <w:r w:rsidR="00A50ED3">
          <w:rPr>
            <w:noProof/>
            <w:webHidden/>
          </w:rPr>
          <w:fldChar w:fldCharType="end"/>
        </w:r>
      </w:hyperlink>
    </w:p>
    <w:p w14:paraId="4940AC7E" w14:textId="2B0C7802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8" w:history="1">
        <w:r w:rsidR="00A50ED3" w:rsidRPr="000A5128">
          <w:rPr>
            <w:rStyle w:val="Hipercze"/>
            <w:b/>
            <w:noProof/>
          </w:rPr>
          <w:t>Wykres 13.1</w:t>
        </w:r>
        <w:r w:rsidR="00A50ED3" w:rsidRPr="000A5128">
          <w:rPr>
            <w:rStyle w:val="Hipercze"/>
            <w:noProof/>
          </w:rPr>
          <w:t xml:space="preserve"> ASKM (mln)</w:t>
        </w:r>
        <w:r w:rsidR="009844DA">
          <w:rPr>
            <w:rStyle w:val="Hipercze"/>
            <w:noProof/>
          </w:rPr>
          <w:t xml:space="preserve"> 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_Toc200534938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22</w:t>
        </w:r>
        <w:r w:rsidR="00A50ED3">
          <w:rPr>
            <w:noProof/>
            <w:webHidden/>
          </w:rPr>
          <w:fldChar w:fldCharType="end"/>
        </w:r>
      </w:hyperlink>
    </w:p>
    <w:p w14:paraId="51264506" w14:textId="1C2C1CAC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39" w:history="1">
        <w:r w:rsidR="00A50ED3" w:rsidRPr="000A5128">
          <w:rPr>
            <w:rStyle w:val="Hipercze"/>
            <w:b/>
            <w:noProof/>
          </w:rPr>
          <w:t>Wykres 13.2</w:t>
        </w:r>
        <w:r w:rsidR="00A50ED3" w:rsidRPr="000A5128">
          <w:rPr>
            <w:rStyle w:val="Hipercze"/>
            <w:noProof/>
          </w:rPr>
          <w:t xml:space="preserve"> ASKM porównanie z IATA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_Toc200534939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23</w:t>
        </w:r>
        <w:r w:rsidR="00A50ED3">
          <w:rPr>
            <w:noProof/>
            <w:webHidden/>
          </w:rPr>
          <w:fldChar w:fldCharType="end"/>
        </w:r>
      </w:hyperlink>
    </w:p>
    <w:p w14:paraId="4432DC8F" w14:textId="70365ABE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40" w:history="1">
        <w:r w:rsidR="00A50ED3" w:rsidRPr="000A5128">
          <w:rPr>
            <w:rStyle w:val="Hipercze"/>
            <w:b/>
            <w:noProof/>
          </w:rPr>
          <w:t>Wykres 14.1</w:t>
        </w:r>
        <w:r w:rsidR="00A50ED3" w:rsidRPr="000A5128">
          <w:rPr>
            <w:rStyle w:val="Hipercze"/>
            <w:noProof/>
          </w:rPr>
          <w:t xml:space="preserve"> LF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_Toc200534940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24</w:t>
        </w:r>
        <w:r w:rsidR="00A50ED3">
          <w:rPr>
            <w:noProof/>
            <w:webHidden/>
          </w:rPr>
          <w:fldChar w:fldCharType="end"/>
        </w:r>
      </w:hyperlink>
    </w:p>
    <w:p w14:paraId="6E442A92" w14:textId="556092C4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41" w:history="1">
        <w:r w:rsidR="00A50ED3" w:rsidRPr="000A5128">
          <w:rPr>
            <w:rStyle w:val="Hipercze"/>
            <w:b/>
            <w:noProof/>
          </w:rPr>
          <w:t>Wykres 14.2</w:t>
        </w:r>
        <w:r w:rsidR="00A50ED3" w:rsidRPr="000A5128">
          <w:rPr>
            <w:rStyle w:val="Hipercze"/>
            <w:noProof/>
          </w:rPr>
          <w:t xml:space="preserve"> LF porównanie z IATA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_Toc200534941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24</w:t>
        </w:r>
        <w:r w:rsidR="00A50ED3">
          <w:rPr>
            <w:noProof/>
            <w:webHidden/>
          </w:rPr>
          <w:fldChar w:fldCharType="end"/>
        </w:r>
      </w:hyperlink>
    </w:p>
    <w:p w14:paraId="48220DF6" w14:textId="5392DC4C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42" w:history="1">
        <w:r w:rsidR="00A50ED3" w:rsidRPr="000A5128">
          <w:rPr>
            <w:rStyle w:val="Hipercze"/>
            <w:b/>
            <w:noProof/>
          </w:rPr>
          <w:t>Wykres 15.1</w:t>
        </w:r>
        <w:r w:rsidR="00A50ED3" w:rsidRPr="000A5128">
          <w:rPr>
            <w:rStyle w:val="Hipercze"/>
            <w:noProof/>
          </w:rPr>
          <w:t xml:space="preserve"> Udział w rynku wg liczby przewiezionych pasażerów w ruchu międzynarodowym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_Toc200534942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25</w:t>
        </w:r>
        <w:r w:rsidR="00A50ED3">
          <w:rPr>
            <w:noProof/>
            <w:webHidden/>
          </w:rPr>
          <w:fldChar w:fldCharType="end"/>
        </w:r>
      </w:hyperlink>
    </w:p>
    <w:p w14:paraId="5D7E77FF" w14:textId="3D186B66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43" w:history="1">
        <w:r w:rsidR="00A50ED3" w:rsidRPr="000A5128">
          <w:rPr>
            <w:rStyle w:val="Hipercze"/>
            <w:b/>
            <w:noProof/>
          </w:rPr>
          <w:t>Wykres 16.1</w:t>
        </w:r>
        <w:r w:rsidR="00A50ED3" w:rsidRPr="000A5128">
          <w:rPr>
            <w:rStyle w:val="Hipercze"/>
            <w:noProof/>
          </w:rPr>
          <w:t xml:space="preserve"> Udział w rynku ruchu międzynarodowego wg. modelu biznesowego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_Toc200534943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26</w:t>
        </w:r>
        <w:r w:rsidR="00A50ED3">
          <w:rPr>
            <w:noProof/>
            <w:webHidden/>
          </w:rPr>
          <w:fldChar w:fldCharType="end"/>
        </w:r>
      </w:hyperlink>
    </w:p>
    <w:p w14:paraId="57CE657A" w14:textId="6069E2F3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44" w:history="1">
        <w:r w:rsidR="00A50ED3" w:rsidRPr="000A5128">
          <w:rPr>
            <w:rStyle w:val="Hipercze"/>
            <w:b/>
            <w:noProof/>
          </w:rPr>
          <w:t>Wykres 17.1</w:t>
        </w:r>
        <w:r w:rsidR="00A50ED3" w:rsidRPr="000A5128">
          <w:rPr>
            <w:rStyle w:val="Hipercze"/>
            <w:noProof/>
          </w:rPr>
          <w:t xml:space="preserve"> Porównanie dynamiki ruchu międzynarodowego przewoźników LCC i sieciowych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_Toc200534944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27</w:t>
        </w:r>
        <w:r w:rsidR="00A50ED3">
          <w:rPr>
            <w:noProof/>
            <w:webHidden/>
          </w:rPr>
          <w:fldChar w:fldCharType="end"/>
        </w:r>
      </w:hyperlink>
    </w:p>
    <w:p w14:paraId="2417CC1E" w14:textId="33A2BD92" w:rsidR="00A50ED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4945" w:history="1">
        <w:r w:rsidR="00A50ED3" w:rsidRPr="000A5128">
          <w:rPr>
            <w:rStyle w:val="Hipercze"/>
            <w:b/>
            <w:noProof/>
          </w:rPr>
          <w:t>Wykres 17.2</w:t>
        </w:r>
        <w:r w:rsidR="00A50ED3" w:rsidRPr="000A5128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A50ED3">
          <w:rPr>
            <w:noProof/>
            <w:webHidden/>
          </w:rPr>
          <w:tab/>
        </w:r>
        <w:r w:rsidR="00A50ED3">
          <w:rPr>
            <w:noProof/>
            <w:webHidden/>
          </w:rPr>
          <w:fldChar w:fldCharType="begin"/>
        </w:r>
        <w:r w:rsidR="00A50ED3">
          <w:rPr>
            <w:noProof/>
            <w:webHidden/>
          </w:rPr>
          <w:instrText xml:space="preserve"> PAGEREF _Toc200534945 \h </w:instrText>
        </w:r>
        <w:r w:rsidR="00A50ED3">
          <w:rPr>
            <w:noProof/>
            <w:webHidden/>
          </w:rPr>
        </w:r>
        <w:r w:rsidR="00A50ED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28</w:t>
        </w:r>
        <w:r w:rsidR="00A50ED3">
          <w:rPr>
            <w:noProof/>
            <w:webHidden/>
          </w:rPr>
          <w:fldChar w:fldCharType="end"/>
        </w:r>
      </w:hyperlink>
    </w:p>
    <w:p w14:paraId="4563BF3C" w14:textId="77777777" w:rsidR="00AE0163" w:rsidRDefault="005C03F8" w:rsidP="0026119A">
      <w:pPr>
        <w:pStyle w:val="Nagwek1"/>
        <w:rPr>
          <w:noProof/>
        </w:rPr>
      </w:pPr>
      <w:r w:rsidRPr="007D383E">
        <w:rPr>
          <w:noProof/>
        </w:rPr>
        <w:fldChar w:fldCharType="end"/>
      </w:r>
      <w:bookmarkStart w:id="81" w:name="_Toc200533910"/>
      <w:r w:rsidR="008D2117" w:rsidRPr="007D383E">
        <w:rPr>
          <w:noProof/>
        </w:rPr>
        <w:t>Spis tabel</w:t>
      </w:r>
      <w:bookmarkEnd w:id="81"/>
      <w:r w:rsidR="00251929" w:rsidRPr="007D383E">
        <w:rPr>
          <w:noProof/>
        </w:rPr>
        <w:fldChar w:fldCharType="begin"/>
      </w:r>
      <w:r w:rsidR="00251929" w:rsidRPr="007D383E">
        <w:rPr>
          <w:noProof/>
        </w:rPr>
        <w:instrText xml:space="preserve"> TOC \h \z \c "Tabela" </w:instrText>
      </w:r>
      <w:r w:rsidR="00251929" w:rsidRPr="007D383E">
        <w:rPr>
          <w:noProof/>
        </w:rPr>
        <w:fldChar w:fldCharType="separate"/>
      </w:r>
    </w:p>
    <w:p w14:paraId="1EAC298E" w14:textId="231F0135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25" w:history="1">
        <w:r w:rsidR="00AE0163" w:rsidRPr="00F20C00">
          <w:rPr>
            <w:rStyle w:val="Hipercze"/>
            <w:b/>
            <w:noProof/>
          </w:rPr>
          <w:t>Tabela 3.1</w:t>
        </w:r>
        <w:r w:rsidR="00AE0163" w:rsidRPr="00F20C00">
          <w:rPr>
            <w:rStyle w:val="Hipercze"/>
            <w:noProof/>
          </w:rPr>
          <w:t xml:space="preserve"> Liczba pasażerów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_Toc200538525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6</w:t>
        </w:r>
        <w:r w:rsidR="00AE0163">
          <w:rPr>
            <w:noProof/>
            <w:webHidden/>
          </w:rPr>
          <w:fldChar w:fldCharType="end"/>
        </w:r>
      </w:hyperlink>
    </w:p>
    <w:p w14:paraId="4DC2EE5F" w14:textId="70F8C49A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26" w:history="1">
        <w:r w:rsidR="00AE0163" w:rsidRPr="00F20C00">
          <w:rPr>
            <w:rStyle w:val="Hipercze"/>
            <w:b/>
            <w:noProof/>
          </w:rPr>
          <w:t>Tabela 4.1</w:t>
        </w:r>
        <w:r w:rsidR="00AE0163" w:rsidRPr="00F20C00">
          <w:rPr>
            <w:rStyle w:val="Hipercze"/>
            <w:noProof/>
          </w:rPr>
          <w:t xml:space="preserve"> Liczba operacji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_Toc200538526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7</w:t>
        </w:r>
        <w:r w:rsidR="00AE0163">
          <w:rPr>
            <w:noProof/>
            <w:webHidden/>
          </w:rPr>
          <w:fldChar w:fldCharType="end"/>
        </w:r>
      </w:hyperlink>
    </w:p>
    <w:p w14:paraId="4A3F9EC8" w14:textId="7B4F42CE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27" w:history="1">
        <w:r w:rsidR="00AE0163" w:rsidRPr="00F20C00">
          <w:rPr>
            <w:rStyle w:val="Hipercze"/>
            <w:b/>
            <w:noProof/>
          </w:rPr>
          <w:t>Tabela 5.1</w:t>
        </w:r>
        <w:r w:rsidR="00AE0163" w:rsidRPr="00F20C00">
          <w:rPr>
            <w:rStyle w:val="Hipercze"/>
            <w:noProof/>
          </w:rPr>
          <w:t xml:space="preserve"> Ilość cargo „on board” (ton)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_Toc200538527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8</w:t>
        </w:r>
        <w:r w:rsidR="00AE0163">
          <w:rPr>
            <w:noProof/>
            <w:webHidden/>
          </w:rPr>
          <w:fldChar w:fldCharType="end"/>
        </w:r>
      </w:hyperlink>
    </w:p>
    <w:p w14:paraId="05BB4A8F" w14:textId="680EAE5D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28" w:history="1">
        <w:r w:rsidR="00AE0163" w:rsidRPr="00F20C00">
          <w:rPr>
            <w:rStyle w:val="Hipercze"/>
            <w:b/>
            <w:noProof/>
          </w:rPr>
          <w:t>Tabela 6.1</w:t>
        </w:r>
        <w:r w:rsidR="00AE0163" w:rsidRPr="00F20C00">
          <w:rPr>
            <w:rStyle w:val="Hipercze"/>
            <w:noProof/>
          </w:rPr>
          <w:t xml:space="preserve"> Dynamika ruchu 2025 vs. 2024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_Toc200538528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9</w:t>
        </w:r>
        <w:r w:rsidR="00AE0163">
          <w:rPr>
            <w:noProof/>
            <w:webHidden/>
          </w:rPr>
          <w:fldChar w:fldCharType="end"/>
        </w:r>
      </w:hyperlink>
    </w:p>
    <w:p w14:paraId="7D27F2A3" w14:textId="3187F662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29" w:history="1">
        <w:r w:rsidR="00AE0163" w:rsidRPr="00F20C00">
          <w:rPr>
            <w:rStyle w:val="Hipercze"/>
            <w:b/>
            <w:noProof/>
          </w:rPr>
          <w:t>Tabela 6.2</w:t>
        </w:r>
        <w:r w:rsidR="00AE0163" w:rsidRPr="00F20C00">
          <w:rPr>
            <w:rStyle w:val="Hipercze"/>
            <w:noProof/>
          </w:rPr>
          <w:t xml:space="preserve"> Dynamika ruchu 2025 vs. 2023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_Toc200538529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9</w:t>
        </w:r>
        <w:r w:rsidR="00AE0163">
          <w:rPr>
            <w:noProof/>
            <w:webHidden/>
          </w:rPr>
          <w:fldChar w:fldCharType="end"/>
        </w:r>
      </w:hyperlink>
    </w:p>
    <w:p w14:paraId="00945B3E" w14:textId="6BD9ECED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0" w:history="1">
        <w:r w:rsidR="00AE0163" w:rsidRPr="00F20C00">
          <w:rPr>
            <w:rStyle w:val="Hipercze"/>
            <w:b/>
            <w:noProof/>
          </w:rPr>
          <w:t>Tabela 6.3</w:t>
        </w:r>
        <w:r w:rsidR="00AE0163" w:rsidRPr="00F20C00">
          <w:rPr>
            <w:rStyle w:val="Hipercze"/>
            <w:noProof/>
          </w:rPr>
          <w:t xml:space="preserve"> Miesięczne przewozy pasażerskie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_Toc200538530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10</w:t>
        </w:r>
        <w:r w:rsidR="00AE0163">
          <w:rPr>
            <w:noProof/>
            <w:webHidden/>
          </w:rPr>
          <w:fldChar w:fldCharType="end"/>
        </w:r>
      </w:hyperlink>
    </w:p>
    <w:p w14:paraId="567D0F19" w14:textId="271F05C9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1" w:history="1">
        <w:r w:rsidR="00AE0163" w:rsidRPr="00F20C00">
          <w:rPr>
            <w:rStyle w:val="Hipercze"/>
            <w:b/>
            <w:noProof/>
          </w:rPr>
          <w:t>Tabela 7.1</w:t>
        </w:r>
        <w:r w:rsidR="00AE0163" w:rsidRPr="00F20C00">
          <w:rPr>
            <w:rStyle w:val="Hipercze"/>
            <w:noProof/>
          </w:rPr>
          <w:t xml:space="preserve"> Dynamika całego rynku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_Toc200538531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11</w:t>
        </w:r>
        <w:r w:rsidR="00AE0163">
          <w:rPr>
            <w:noProof/>
            <w:webHidden/>
          </w:rPr>
          <w:fldChar w:fldCharType="end"/>
        </w:r>
      </w:hyperlink>
    </w:p>
    <w:p w14:paraId="16B9070E" w14:textId="7DD343AC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2" w:history="1">
        <w:r w:rsidR="00AE0163" w:rsidRPr="00F20C00">
          <w:rPr>
            <w:rStyle w:val="Hipercze"/>
            <w:b/>
            <w:noProof/>
          </w:rPr>
          <w:t>Tabela 7.2</w:t>
        </w:r>
        <w:r w:rsidR="00AE0163" w:rsidRPr="00F20C00">
          <w:rPr>
            <w:rStyle w:val="Hipercze"/>
            <w:noProof/>
          </w:rPr>
          <w:t xml:space="preserve"> Dynamika portów obsługujących 10-25 mln pasażerów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_Toc200538532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12</w:t>
        </w:r>
        <w:r w:rsidR="00AE0163">
          <w:rPr>
            <w:noProof/>
            <w:webHidden/>
          </w:rPr>
          <w:fldChar w:fldCharType="end"/>
        </w:r>
      </w:hyperlink>
    </w:p>
    <w:p w14:paraId="53506247" w14:textId="58CD471B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3" w:history="1">
        <w:r w:rsidR="00AE0163" w:rsidRPr="00F20C00">
          <w:rPr>
            <w:rStyle w:val="Hipercze"/>
            <w:b/>
            <w:noProof/>
          </w:rPr>
          <w:t>Tabela 7.3</w:t>
        </w:r>
        <w:r w:rsidR="00AE0163" w:rsidRPr="00F20C00">
          <w:rPr>
            <w:rStyle w:val="Hipercze"/>
            <w:noProof/>
          </w:rPr>
          <w:t xml:space="preserve"> Dynamika portów obsługujących 1-10 mln pasażerów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_Toc200538533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13</w:t>
        </w:r>
        <w:r w:rsidR="00AE0163">
          <w:rPr>
            <w:noProof/>
            <w:webHidden/>
          </w:rPr>
          <w:fldChar w:fldCharType="end"/>
        </w:r>
      </w:hyperlink>
    </w:p>
    <w:p w14:paraId="4DD70E7D" w14:textId="3AF9E477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4" w:history="1">
        <w:r w:rsidR="00AE0163" w:rsidRPr="00F20C00">
          <w:rPr>
            <w:rStyle w:val="Hipercze"/>
            <w:b/>
            <w:noProof/>
          </w:rPr>
          <w:t>Tabela 7.4</w:t>
        </w:r>
        <w:r w:rsidR="00AE0163" w:rsidRPr="00F20C00">
          <w:rPr>
            <w:rStyle w:val="Hipercze"/>
            <w:noProof/>
          </w:rPr>
          <w:t xml:space="preserve"> Dynamika portów obsługujących poniżej 1 mln pasażerów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_Toc200538534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14</w:t>
        </w:r>
        <w:r w:rsidR="00AE0163">
          <w:rPr>
            <w:noProof/>
            <w:webHidden/>
          </w:rPr>
          <w:fldChar w:fldCharType="end"/>
        </w:r>
      </w:hyperlink>
    </w:p>
    <w:p w14:paraId="4E53C34D" w14:textId="0A2B4F34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5" w:history="1">
        <w:r w:rsidR="00AE0163" w:rsidRPr="00F20C00">
          <w:rPr>
            <w:rStyle w:val="Hipercze"/>
            <w:b/>
            <w:noProof/>
          </w:rPr>
          <w:t>Tabela 7.5</w:t>
        </w:r>
        <w:r w:rsidR="00AE0163" w:rsidRPr="00F20C00">
          <w:rPr>
            <w:rStyle w:val="Hipercze"/>
            <w:noProof/>
          </w:rPr>
          <w:t xml:space="preserve"> Zmiana przewozów pasażerskich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_Toc200538535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15</w:t>
        </w:r>
        <w:r w:rsidR="00AE0163">
          <w:rPr>
            <w:noProof/>
            <w:webHidden/>
          </w:rPr>
          <w:fldChar w:fldCharType="end"/>
        </w:r>
      </w:hyperlink>
    </w:p>
    <w:p w14:paraId="7E783E68" w14:textId="4E90BCA6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6" w:history="1">
        <w:r w:rsidR="00AE0163" w:rsidRPr="00F20C00">
          <w:rPr>
            <w:rStyle w:val="Hipercze"/>
            <w:b/>
            <w:noProof/>
          </w:rPr>
          <w:t>Tabela 8.1</w:t>
        </w:r>
        <w:r w:rsidR="00AE0163" w:rsidRPr="00F20C00">
          <w:rPr>
            <w:rStyle w:val="Hipercze"/>
            <w:noProof/>
          </w:rPr>
          <w:t xml:space="preserve"> Przewozy międzynarodowe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_Toc200538536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17</w:t>
        </w:r>
        <w:r w:rsidR="00AE0163">
          <w:rPr>
            <w:noProof/>
            <w:webHidden/>
          </w:rPr>
          <w:fldChar w:fldCharType="end"/>
        </w:r>
      </w:hyperlink>
    </w:p>
    <w:p w14:paraId="65FF0906" w14:textId="79D0B6B9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7" w:history="1">
        <w:r w:rsidR="00AE0163" w:rsidRPr="00F20C00">
          <w:rPr>
            <w:rStyle w:val="Hipercze"/>
            <w:b/>
            <w:noProof/>
          </w:rPr>
          <w:t>Tabela 9.1</w:t>
        </w:r>
        <w:r w:rsidR="00AE0163" w:rsidRPr="00F20C00">
          <w:rPr>
            <w:rStyle w:val="Hipercze"/>
            <w:noProof/>
          </w:rPr>
          <w:t xml:space="preserve"> Przewozy krajowe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_Toc200538537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17</w:t>
        </w:r>
        <w:r w:rsidR="00AE0163">
          <w:rPr>
            <w:noProof/>
            <w:webHidden/>
          </w:rPr>
          <w:fldChar w:fldCharType="end"/>
        </w:r>
      </w:hyperlink>
    </w:p>
    <w:p w14:paraId="040A2518" w14:textId="44FD4B1D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8" w:history="1">
        <w:r w:rsidR="00AE0163" w:rsidRPr="00F20C00">
          <w:rPr>
            <w:rStyle w:val="Hipercze"/>
            <w:b/>
            <w:noProof/>
          </w:rPr>
          <w:t>Tabela 10.1</w:t>
        </w:r>
        <w:r w:rsidR="00AE0163" w:rsidRPr="00F20C00">
          <w:rPr>
            <w:rStyle w:val="Hipercze"/>
            <w:noProof/>
          </w:rPr>
          <w:t xml:space="preserve"> Liczba pasażerów regularnych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_Toc200538538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19</w:t>
        </w:r>
        <w:r w:rsidR="00AE0163">
          <w:rPr>
            <w:noProof/>
            <w:webHidden/>
          </w:rPr>
          <w:fldChar w:fldCharType="end"/>
        </w:r>
      </w:hyperlink>
    </w:p>
    <w:p w14:paraId="143DAB24" w14:textId="11D503E7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39" w:history="1">
        <w:r w:rsidR="00AE0163" w:rsidRPr="00F20C00">
          <w:rPr>
            <w:rStyle w:val="Hipercze"/>
            <w:b/>
            <w:noProof/>
          </w:rPr>
          <w:t>Tabela 10.2</w:t>
        </w:r>
        <w:r w:rsidR="00AE0163" w:rsidRPr="00F20C00">
          <w:rPr>
            <w:rStyle w:val="Hipercze"/>
            <w:noProof/>
          </w:rPr>
          <w:t xml:space="preserve"> Dynamika ruchu regularnego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_Toc200538539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19</w:t>
        </w:r>
        <w:r w:rsidR="00AE0163">
          <w:rPr>
            <w:noProof/>
            <w:webHidden/>
          </w:rPr>
          <w:fldChar w:fldCharType="end"/>
        </w:r>
      </w:hyperlink>
    </w:p>
    <w:p w14:paraId="1CDB3802" w14:textId="45AB656B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0" w:history="1">
        <w:r w:rsidR="00AE0163" w:rsidRPr="00F20C00">
          <w:rPr>
            <w:rStyle w:val="Hipercze"/>
            <w:b/>
            <w:noProof/>
          </w:rPr>
          <w:t>Tabela 11.1</w:t>
        </w:r>
        <w:r w:rsidR="00AE0163" w:rsidRPr="00F20C00">
          <w:rPr>
            <w:rStyle w:val="Hipercze"/>
            <w:noProof/>
          </w:rPr>
          <w:t xml:space="preserve"> Liczba pasażerów czarterowych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_Toc200538540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20</w:t>
        </w:r>
        <w:r w:rsidR="00AE0163">
          <w:rPr>
            <w:noProof/>
            <w:webHidden/>
          </w:rPr>
          <w:fldChar w:fldCharType="end"/>
        </w:r>
      </w:hyperlink>
    </w:p>
    <w:p w14:paraId="2100537C" w14:textId="6651C8E3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1" w:history="1">
        <w:r w:rsidR="00AE0163" w:rsidRPr="00F20C00">
          <w:rPr>
            <w:rStyle w:val="Hipercze"/>
            <w:b/>
            <w:noProof/>
          </w:rPr>
          <w:t>Tabela 11.2</w:t>
        </w:r>
        <w:r w:rsidR="00AE0163" w:rsidRPr="00F20C00">
          <w:rPr>
            <w:rStyle w:val="Hipercze"/>
            <w:noProof/>
          </w:rPr>
          <w:t xml:space="preserve"> Dynamika ruchu czarterowego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_Toc200538541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21</w:t>
        </w:r>
        <w:r w:rsidR="00AE0163">
          <w:rPr>
            <w:noProof/>
            <w:webHidden/>
          </w:rPr>
          <w:fldChar w:fldCharType="end"/>
        </w:r>
      </w:hyperlink>
    </w:p>
    <w:p w14:paraId="248F7CB6" w14:textId="7A9845B5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2" w:history="1">
        <w:r w:rsidR="00AE0163" w:rsidRPr="00F20C00">
          <w:rPr>
            <w:rStyle w:val="Hipercze"/>
            <w:b/>
            <w:noProof/>
          </w:rPr>
          <w:t>Tabela 12.1</w:t>
        </w:r>
        <w:r w:rsidR="00AE0163" w:rsidRPr="00F20C00">
          <w:rPr>
            <w:rStyle w:val="Hipercze"/>
            <w:noProof/>
          </w:rPr>
          <w:t xml:space="preserve"> RPKM (mln)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_Toc200538542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21</w:t>
        </w:r>
        <w:r w:rsidR="00AE0163">
          <w:rPr>
            <w:noProof/>
            <w:webHidden/>
          </w:rPr>
          <w:fldChar w:fldCharType="end"/>
        </w:r>
      </w:hyperlink>
    </w:p>
    <w:p w14:paraId="2FB02297" w14:textId="12AAEEF5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3" w:history="1">
        <w:r w:rsidR="00AE0163" w:rsidRPr="00F20C00">
          <w:rPr>
            <w:rStyle w:val="Hipercze"/>
            <w:b/>
            <w:noProof/>
          </w:rPr>
          <w:t>Tabela 12.2</w:t>
        </w:r>
        <w:r w:rsidR="00AE0163" w:rsidRPr="00F20C00">
          <w:rPr>
            <w:rStyle w:val="Hipercze"/>
            <w:noProof/>
          </w:rPr>
          <w:t xml:space="preserve"> RPKM porównanie z IATA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_Toc200538543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22</w:t>
        </w:r>
        <w:r w:rsidR="00AE0163">
          <w:rPr>
            <w:noProof/>
            <w:webHidden/>
          </w:rPr>
          <w:fldChar w:fldCharType="end"/>
        </w:r>
      </w:hyperlink>
    </w:p>
    <w:p w14:paraId="132BD7D8" w14:textId="4FCDB3A5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4" w:history="1">
        <w:r w:rsidR="00AE0163" w:rsidRPr="00F20C00">
          <w:rPr>
            <w:rStyle w:val="Hipercze"/>
            <w:b/>
            <w:noProof/>
          </w:rPr>
          <w:t>Tabela 13.1</w:t>
        </w:r>
        <w:r w:rsidR="00AE0163" w:rsidRPr="00F20C00">
          <w:rPr>
            <w:rStyle w:val="Hipercze"/>
            <w:noProof/>
          </w:rPr>
          <w:t xml:space="preserve"> ASKM (mln)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_Toc200538544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23</w:t>
        </w:r>
        <w:r w:rsidR="00AE0163">
          <w:rPr>
            <w:noProof/>
            <w:webHidden/>
          </w:rPr>
          <w:fldChar w:fldCharType="end"/>
        </w:r>
      </w:hyperlink>
    </w:p>
    <w:p w14:paraId="14043CE8" w14:textId="20CF82CF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5" w:history="1">
        <w:r w:rsidR="00AE0163" w:rsidRPr="00F20C00">
          <w:rPr>
            <w:rStyle w:val="Hipercze"/>
            <w:b/>
            <w:noProof/>
          </w:rPr>
          <w:t>Tabela 13.2</w:t>
        </w:r>
        <w:r w:rsidR="00AE0163" w:rsidRPr="00F20C00">
          <w:rPr>
            <w:rStyle w:val="Hipercze"/>
            <w:noProof/>
          </w:rPr>
          <w:t xml:space="preserve"> ASKM porównanie z IATA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_Toc200538545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23</w:t>
        </w:r>
        <w:r w:rsidR="00AE0163">
          <w:rPr>
            <w:noProof/>
            <w:webHidden/>
          </w:rPr>
          <w:fldChar w:fldCharType="end"/>
        </w:r>
      </w:hyperlink>
    </w:p>
    <w:p w14:paraId="01A1560B" w14:textId="055D0522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6" w:history="1">
        <w:r w:rsidR="00AE0163" w:rsidRPr="00F20C00">
          <w:rPr>
            <w:rStyle w:val="Hipercze"/>
            <w:b/>
            <w:noProof/>
          </w:rPr>
          <w:t>Tabela 14.1</w:t>
        </w:r>
        <w:r w:rsidR="00AE0163" w:rsidRPr="00F20C00">
          <w:rPr>
            <w:rStyle w:val="Hipercze"/>
            <w:noProof/>
          </w:rPr>
          <w:t xml:space="preserve"> LF – kwartał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_Toc200538546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24</w:t>
        </w:r>
        <w:r w:rsidR="00AE0163">
          <w:rPr>
            <w:noProof/>
            <w:webHidden/>
          </w:rPr>
          <w:fldChar w:fldCharType="end"/>
        </w:r>
      </w:hyperlink>
    </w:p>
    <w:p w14:paraId="256E9B98" w14:textId="53606B33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7" w:history="1">
        <w:r w:rsidR="00AE0163" w:rsidRPr="00F20C00">
          <w:rPr>
            <w:rStyle w:val="Hipercze"/>
            <w:b/>
            <w:noProof/>
          </w:rPr>
          <w:t>Tabela 14.2</w:t>
        </w:r>
        <w:r w:rsidR="00AE0163" w:rsidRPr="00F20C00">
          <w:rPr>
            <w:rStyle w:val="Hipercze"/>
            <w:noProof/>
          </w:rPr>
          <w:t xml:space="preserve"> LF porównanie z IATA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_Toc200538547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24</w:t>
        </w:r>
        <w:r w:rsidR="00AE0163">
          <w:rPr>
            <w:noProof/>
            <w:webHidden/>
          </w:rPr>
          <w:fldChar w:fldCharType="end"/>
        </w:r>
      </w:hyperlink>
    </w:p>
    <w:p w14:paraId="1F53E785" w14:textId="33000402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8" w:history="1">
        <w:r w:rsidR="00AE0163" w:rsidRPr="00F20C00">
          <w:rPr>
            <w:rStyle w:val="Hipercze"/>
            <w:b/>
            <w:noProof/>
          </w:rPr>
          <w:t>Tabela 15.1</w:t>
        </w:r>
        <w:r w:rsidR="00AE0163" w:rsidRPr="00F20C00">
          <w:rPr>
            <w:rStyle w:val="Hipercze"/>
            <w:noProof/>
          </w:rPr>
          <w:t xml:space="preserve"> Udział w rynku wg liczby przewiezionych pasażerów w ruchu międzynarodowym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_Toc200538548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25</w:t>
        </w:r>
        <w:r w:rsidR="00AE0163">
          <w:rPr>
            <w:noProof/>
            <w:webHidden/>
          </w:rPr>
          <w:fldChar w:fldCharType="end"/>
        </w:r>
      </w:hyperlink>
    </w:p>
    <w:p w14:paraId="70E59B5D" w14:textId="53BA7817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49" w:history="1">
        <w:r w:rsidR="00AE0163" w:rsidRPr="00F20C00">
          <w:rPr>
            <w:rStyle w:val="Hipercze"/>
            <w:b/>
            <w:noProof/>
          </w:rPr>
          <w:t>Tabela 16.1</w:t>
        </w:r>
        <w:r w:rsidR="00AE0163" w:rsidRPr="00F20C00">
          <w:rPr>
            <w:rStyle w:val="Hipercze"/>
            <w:noProof/>
          </w:rPr>
          <w:t xml:space="preserve"> Udział w rynku ruchu międzynarodowego wg modelu biznesowego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_Toc200538549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26</w:t>
        </w:r>
        <w:r w:rsidR="00AE0163">
          <w:rPr>
            <w:noProof/>
            <w:webHidden/>
          </w:rPr>
          <w:fldChar w:fldCharType="end"/>
        </w:r>
      </w:hyperlink>
    </w:p>
    <w:p w14:paraId="33863044" w14:textId="278DA0F6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50" w:history="1">
        <w:r w:rsidR="00AE0163" w:rsidRPr="00F20C00">
          <w:rPr>
            <w:rStyle w:val="Hipercze"/>
            <w:b/>
            <w:noProof/>
          </w:rPr>
          <w:t>Tabela 17.1</w:t>
        </w:r>
        <w:r w:rsidR="00AE0163" w:rsidRPr="00F20C00">
          <w:rPr>
            <w:rStyle w:val="Hipercze"/>
            <w:noProof/>
          </w:rPr>
          <w:t xml:space="preserve"> Porównanie dynamiki ruchu przewoźników LCC i sieciowych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_Toc200538550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28</w:t>
        </w:r>
        <w:r w:rsidR="00AE0163">
          <w:rPr>
            <w:noProof/>
            <w:webHidden/>
          </w:rPr>
          <w:fldChar w:fldCharType="end"/>
        </w:r>
      </w:hyperlink>
    </w:p>
    <w:p w14:paraId="3DF66B1B" w14:textId="19AE8395" w:rsidR="00AE0163" w:rsidRDefault="003D1A14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00538551" w:history="1">
        <w:r w:rsidR="00AE0163" w:rsidRPr="00F20C00">
          <w:rPr>
            <w:rStyle w:val="Hipercze"/>
            <w:b/>
            <w:noProof/>
          </w:rPr>
          <w:t>Tabela 17.2</w:t>
        </w:r>
        <w:r w:rsidR="00AE0163" w:rsidRPr="00F20C00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AE0163">
          <w:rPr>
            <w:noProof/>
            <w:webHidden/>
          </w:rPr>
          <w:tab/>
        </w:r>
        <w:r w:rsidR="00AE0163">
          <w:rPr>
            <w:noProof/>
            <w:webHidden/>
          </w:rPr>
          <w:fldChar w:fldCharType="begin"/>
        </w:r>
        <w:r w:rsidR="00AE0163">
          <w:rPr>
            <w:noProof/>
            <w:webHidden/>
          </w:rPr>
          <w:instrText xml:space="preserve"> PAGEREF _Toc200538551 \h </w:instrText>
        </w:r>
        <w:r w:rsidR="00AE0163">
          <w:rPr>
            <w:noProof/>
            <w:webHidden/>
          </w:rPr>
        </w:r>
        <w:r w:rsidR="00AE0163">
          <w:rPr>
            <w:noProof/>
            <w:webHidden/>
          </w:rPr>
          <w:fldChar w:fldCharType="separate"/>
        </w:r>
        <w:r w:rsidR="0089169E">
          <w:rPr>
            <w:noProof/>
            <w:webHidden/>
          </w:rPr>
          <w:t>28</w:t>
        </w:r>
        <w:r w:rsidR="00AE0163">
          <w:rPr>
            <w:noProof/>
            <w:webHidden/>
          </w:rPr>
          <w:fldChar w:fldCharType="end"/>
        </w:r>
      </w:hyperlink>
    </w:p>
    <w:p w14:paraId="7BAB1E27" w14:textId="77777777" w:rsidR="005C03F8" w:rsidRPr="007D383E" w:rsidRDefault="00251929" w:rsidP="00251929">
      <w:pPr>
        <w:pStyle w:val="Spisilustracji"/>
        <w:tabs>
          <w:tab w:val="right" w:leader="dot" w:pos="9062"/>
        </w:tabs>
        <w:rPr>
          <w:noProof/>
        </w:rPr>
      </w:pPr>
      <w:r w:rsidRPr="007D383E">
        <w:rPr>
          <w:i/>
          <w:noProof/>
        </w:rPr>
        <w:fldChar w:fldCharType="end"/>
      </w:r>
    </w:p>
    <w:sectPr w:rsidR="005C03F8" w:rsidRPr="007D383E" w:rsidSect="0006530F">
      <w:headerReference w:type="default" r:id="rId35"/>
      <w:footerReference w:type="default" r:id="rId36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CC6B1D" w16cid:durableId="2B3B57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2CAF1" w14:textId="77777777" w:rsidR="004575F0" w:rsidRDefault="004575F0" w:rsidP="0006530F">
      <w:pPr>
        <w:spacing w:after="0" w:line="240" w:lineRule="auto"/>
      </w:pPr>
      <w:r>
        <w:separator/>
      </w:r>
    </w:p>
  </w:endnote>
  <w:endnote w:type="continuationSeparator" w:id="0">
    <w:p w14:paraId="14001CAF" w14:textId="77777777" w:rsidR="004575F0" w:rsidRDefault="004575F0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6A1B" w14:textId="4D58BAE5" w:rsidR="003D1A14" w:rsidRDefault="003D1A14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827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B34FA" w14:textId="77777777" w:rsidR="004575F0" w:rsidRDefault="004575F0" w:rsidP="0006530F">
      <w:pPr>
        <w:spacing w:after="0" w:line="240" w:lineRule="auto"/>
      </w:pPr>
      <w:r>
        <w:separator/>
      </w:r>
    </w:p>
  </w:footnote>
  <w:footnote w:type="continuationSeparator" w:id="0">
    <w:p w14:paraId="43C334A2" w14:textId="77777777" w:rsidR="004575F0" w:rsidRDefault="004575F0" w:rsidP="0006530F">
      <w:pPr>
        <w:spacing w:after="0" w:line="240" w:lineRule="auto"/>
      </w:pPr>
      <w:r>
        <w:continuationSeparator/>
      </w:r>
    </w:p>
  </w:footnote>
  <w:footnote w:id="1">
    <w:p w14:paraId="2BD41E85" w14:textId="77777777" w:rsidR="003D1A14" w:rsidRPr="00A85D41" w:rsidRDefault="003D1A14" w:rsidP="00744A5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 w:rsidRPr="0024126A">
        <w:rPr>
          <w:lang w:val="en-US"/>
        </w:rPr>
        <w:t>Źródło</w:t>
      </w:r>
      <w:r w:rsidRPr="00A85D41">
        <w:rPr>
          <w:lang w:val="en-US"/>
        </w:rPr>
        <w:t xml:space="preserve">: </w:t>
      </w:r>
      <w:r>
        <w:rPr>
          <w:lang w:val="en-US"/>
        </w:rPr>
        <w:t>ACI EUROPE Airport Traffic Report March 2025, Quarter 1</w:t>
      </w:r>
    </w:p>
  </w:footnote>
  <w:footnote w:id="2">
    <w:p w14:paraId="4575A920" w14:textId="77777777" w:rsidR="003D1A14" w:rsidRPr="00A85D41" w:rsidRDefault="003D1A14" w:rsidP="00744A5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March 2025, Quarter 1</w:t>
      </w:r>
    </w:p>
  </w:footnote>
  <w:footnote w:id="3">
    <w:p w14:paraId="196087C9" w14:textId="32628D6F" w:rsidR="003D1A14" w:rsidRPr="00A85D41" w:rsidRDefault="003D1A14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March 2025, Quarter 1</w:t>
      </w:r>
    </w:p>
  </w:footnote>
  <w:footnote w:id="4">
    <w:p w14:paraId="3739D2BB" w14:textId="591564A7" w:rsidR="003D1A14" w:rsidRPr="00A85D41" w:rsidRDefault="003D1A14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March 2025, Quarter 1</w:t>
      </w:r>
    </w:p>
  </w:footnote>
  <w:footnote w:id="5">
    <w:p w14:paraId="57E122AC" w14:textId="730F4AE0" w:rsidR="003D1A14" w:rsidRPr="00A85D41" w:rsidRDefault="003D1A14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March 2025, Quarter 1</w:t>
      </w:r>
    </w:p>
  </w:footnote>
  <w:footnote w:id="6">
    <w:p w14:paraId="72FBFDEB" w14:textId="37CCEDD4" w:rsidR="003D1A14" w:rsidRPr="00A85D41" w:rsidRDefault="003D1A14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March 2025, Quarter 1</w:t>
      </w:r>
    </w:p>
  </w:footnote>
  <w:footnote w:id="7">
    <w:p w14:paraId="48490D9E" w14:textId="296A1218" w:rsidR="003D1A14" w:rsidRPr="00A85D41" w:rsidRDefault="003D1A14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March 2025</w:t>
      </w:r>
    </w:p>
  </w:footnote>
  <w:footnote w:id="8">
    <w:p w14:paraId="359C39F2" w14:textId="1E301E73" w:rsidR="003D1A14" w:rsidRPr="00A85D41" w:rsidRDefault="003D1A14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March 2025</w:t>
      </w:r>
    </w:p>
  </w:footnote>
  <w:footnote w:id="9">
    <w:p w14:paraId="4567C0B2" w14:textId="038BC2B6" w:rsidR="003D1A14" w:rsidRPr="00A85D41" w:rsidRDefault="003D1A14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March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CAEA" w14:textId="77777777" w:rsidR="003D1A14" w:rsidRDefault="003D1A14" w:rsidP="0006530F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BF4"/>
    <w:multiLevelType w:val="hybridMultilevel"/>
    <w:tmpl w:val="1C1CB254"/>
    <w:lvl w:ilvl="0" w:tplc="E996CDB0">
      <w:start w:val="1"/>
      <w:numFmt w:val="decimal"/>
      <w:pStyle w:val="Nagwek1"/>
      <w:lvlText w:val="%1."/>
      <w:lvlJc w:val="left"/>
      <w:pPr>
        <w:ind w:left="720" w:hanging="360"/>
      </w:pPr>
    </w:lvl>
    <w:lvl w:ilvl="1" w:tplc="5B5415C8">
      <w:start w:val="1"/>
      <w:numFmt w:val="ordinal"/>
      <w:pStyle w:val="Nagwek2"/>
      <w:lvlText w:val="7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ocumentProtection w:edit="readOnly" w:enforcement="1" w:cryptProviderType="rsaAES" w:cryptAlgorithmClass="hash" w:cryptAlgorithmType="typeAny" w:cryptAlgorithmSid="14" w:cryptSpinCount="100000" w:hash="YNL4zGwGHPG6YD7TVCCh3CIXuaTAS+EmJJ5HGKO/yaESi+QIR5NRPMKy5vqhaOKXODJhxY/SfmK7XV2Ap1kYdg==" w:salt="nFbEP4z47FNv3eMoLpoE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9"/>
    <w:rsid w:val="00006630"/>
    <w:rsid w:val="0000733C"/>
    <w:rsid w:val="00007CE1"/>
    <w:rsid w:val="00012FBE"/>
    <w:rsid w:val="0001342B"/>
    <w:rsid w:val="0001474C"/>
    <w:rsid w:val="00017A53"/>
    <w:rsid w:val="00023A5E"/>
    <w:rsid w:val="00026321"/>
    <w:rsid w:val="0002736F"/>
    <w:rsid w:val="00027A9E"/>
    <w:rsid w:val="00030869"/>
    <w:rsid w:val="0003141B"/>
    <w:rsid w:val="00037463"/>
    <w:rsid w:val="00040829"/>
    <w:rsid w:val="0004158D"/>
    <w:rsid w:val="000509B8"/>
    <w:rsid w:val="000542CA"/>
    <w:rsid w:val="0005434A"/>
    <w:rsid w:val="00057F0A"/>
    <w:rsid w:val="0006078F"/>
    <w:rsid w:val="0006530F"/>
    <w:rsid w:val="00073E90"/>
    <w:rsid w:val="00083FB3"/>
    <w:rsid w:val="00087543"/>
    <w:rsid w:val="000932A9"/>
    <w:rsid w:val="000A0CA8"/>
    <w:rsid w:val="000A69DF"/>
    <w:rsid w:val="000B3CAC"/>
    <w:rsid w:val="000B3D80"/>
    <w:rsid w:val="000B4D1B"/>
    <w:rsid w:val="000B5FC8"/>
    <w:rsid w:val="000B646F"/>
    <w:rsid w:val="000B7D34"/>
    <w:rsid w:val="000C374E"/>
    <w:rsid w:val="000C63F8"/>
    <w:rsid w:val="000D186C"/>
    <w:rsid w:val="000D1F6D"/>
    <w:rsid w:val="000D2651"/>
    <w:rsid w:val="000D27A2"/>
    <w:rsid w:val="000D3331"/>
    <w:rsid w:val="000D65F5"/>
    <w:rsid w:val="000D6678"/>
    <w:rsid w:val="000D7C59"/>
    <w:rsid w:val="000E1177"/>
    <w:rsid w:val="000E3ED4"/>
    <w:rsid w:val="000E6355"/>
    <w:rsid w:val="000F5626"/>
    <w:rsid w:val="001013CC"/>
    <w:rsid w:val="001044C0"/>
    <w:rsid w:val="00106CAA"/>
    <w:rsid w:val="00117BCC"/>
    <w:rsid w:val="001318D6"/>
    <w:rsid w:val="00133128"/>
    <w:rsid w:val="001345CB"/>
    <w:rsid w:val="0013566D"/>
    <w:rsid w:val="0013633A"/>
    <w:rsid w:val="0014321F"/>
    <w:rsid w:val="001439E9"/>
    <w:rsid w:val="00145127"/>
    <w:rsid w:val="001473F9"/>
    <w:rsid w:val="00150362"/>
    <w:rsid w:val="00153565"/>
    <w:rsid w:val="001546BD"/>
    <w:rsid w:val="0016381C"/>
    <w:rsid w:val="00165125"/>
    <w:rsid w:val="00167BDE"/>
    <w:rsid w:val="00170CEF"/>
    <w:rsid w:val="00172557"/>
    <w:rsid w:val="0017289A"/>
    <w:rsid w:val="001728F5"/>
    <w:rsid w:val="00172F45"/>
    <w:rsid w:val="00174A72"/>
    <w:rsid w:val="00175B4C"/>
    <w:rsid w:val="00185EA4"/>
    <w:rsid w:val="0018638B"/>
    <w:rsid w:val="0019013D"/>
    <w:rsid w:val="001923F0"/>
    <w:rsid w:val="00193427"/>
    <w:rsid w:val="0019550F"/>
    <w:rsid w:val="00195CE2"/>
    <w:rsid w:val="00197BEE"/>
    <w:rsid w:val="001A547B"/>
    <w:rsid w:val="001B08C2"/>
    <w:rsid w:val="001B2221"/>
    <w:rsid w:val="001C1B48"/>
    <w:rsid w:val="001C3D78"/>
    <w:rsid w:val="001C5D59"/>
    <w:rsid w:val="001C5E5F"/>
    <w:rsid w:val="001D2C4A"/>
    <w:rsid w:val="001D330D"/>
    <w:rsid w:val="001D34D5"/>
    <w:rsid w:val="001D6FF5"/>
    <w:rsid w:val="001D7715"/>
    <w:rsid w:val="001D7920"/>
    <w:rsid w:val="001F6599"/>
    <w:rsid w:val="002000E9"/>
    <w:rsid w:val="00205B3A"/>
    <w:rsid w:val="00206600"/>
    <w:rsid w:val="00207206"/>
    <w:rsid w:val="00213170"/>
    <w:rsid w:val="00213291"/>
    <w:rsid w:val="002136D4"/>
    <w:rsid w:val="00214170"/>
    <w:rsid w:val="00220CAE"/>
    <w:rsid w:val="00222F0F"/>
    <w:rsid w:val="002231BB"/>
    <w:rsid w:val="00226699"/>
    <w:rsid w:val="0023428A"/>
    <w:rsid w:val="00235201"/>
    <w:rsid w:val="0023540C"/>
    <w:rsid w:val="00235511"/>
    <w:rsid w:val="00235DA1"/>
    <w:rsid w:val="00236B0F"/>
    <w:rsid w:val="002374B3"/>
    <w:rsid w:val="0024126A"/>
    <w:rsid w:val="00245D14"/>
    <w:rsid w:val="00246ADA"/>
    <w:rsid w:val="00251929"/>
    <w:rsid w:val="0025213A"/>
    <w:rsid w:val="00254733"/>
    <w:rsid w:val="00256F5E"/>
    <w:rsid w:val="0026119A"/>
    <w:rsid w:val="00261590"/>
    <w:rsid w:val="00262C11"/>
    <w:rsid w:val="00262C77"/>
    <w:rsid w:val="002655ED"/>
    <w:rsid w:val="002748B5"/>
    <w:rsid w:val="00274935"/>
    <w:rsid w:val="0027744F"/>
    <w:rsid w:val="00284E0B"/>
    <w:rsid w:val="00285F9D"/>
    <w:rsid w:val="002914C1"/>
    <w:rsid w:val="00293021"/>
    <w:rsid w:val="00297536"/>
    <w:rsid w:val="002A20B1"/>
    <w:rsid w:val="002A30AB"/>
    <w:rsid w:val="002A5F54"/>
    <w:rsid w:val="002A66A5"/>
    <w:rsid w:val="002B021E"/>
    <w:rsid w:val="002C543B"/>
    <w:rsid w:val="002D3C69"/>
    <w:rsid w:val="002D4F08"/>
    <w:rsid w:val="002E3269"/>
    <w:rsid w:val="002E4EA4"/>
    <w:rsid w:val="002F0069"/>
    <w:rsid w:val="002F01B9"/>
    <w:rsid w:val="002F3002"/>
    <w:rsid w:val="002F32F7"/>
    <w:rsid w:val="002F4E8D"/>
    <w:rsid w:val="002F626A"/>
    <w:rsid w:val="00300230"/>
    <w:rsid w:val="003044E5"/>
    <w:rsid w:val="0031420E"/>
    <w:rsid w:val="003151FB"/>
    <w:rsid w:val="003167DA"/>
    <w:rsid w:val="00323453"/>
    <w:rsid w:val="0032553F"/>
    <w:rsid w:val="00335095"/>
    <w:rsid w:val="00336778"/>
    <w:rsid w:val="00336C9D"/>
    <w:rsid w:val="00336DE7"/>
    <w:rsid w:val="003379A8"/>
    <w:rsid w:val="00342124"/>
    <w:rsid w:val="0034493F"/>
    <w:rsid w:val="00352839"/>
    <w:rsid w:val="0035520E"/>
    <w:rsid w:val="00363D67"/>
    <w:rsid w:val="00367669"/>
    <w:rsid w:val="00367D3E"/>
    <w:rsid w:val="0037119E"/>
    <w:rsid w:val="00372455"/>
    <w:rsid w:val="00376B62"/>
    <w:rsid w:val="00385A50"/>
    <w:rsid w:val="003A2286"/>
    <w:rsid w:val="003A22F1"/>
    <w:rsid w:val="003A2FEA"/>
    <w:rsid w:val="003A4616"/>
    <w:rsid w:val="003A69CE"/>
    <w:rsid w:val="003A6E35"/>
    <w:rsid w:val="003B103F"/>
    <w:rsid w:val="003B32A7"/>
    <w:rsid w:val="003C372C"/>
    <w:rsid w:val="003C3BF8"/>
    <w:rsid w:val="003C4265"/>
    <w:rsid w:val="003D1A14"/>
    <w:rsid w:val="003D3924"/>
    <w:rsid w:val="003D5DBD"/>
    <w:rsid w:val="003D6574"/>
    <w:rsid w:val="003D7C01"/>
    <w:rsid w:val="003E2765"/>
    <w:rsid w:val="003E2780"/>
    <w:rsid w:val="003E376E"/>
    <w:rsid w:val="003E452C"/>
    <w:rsid w:val="003E4B33"/>
    <w:rsid w:val="003E5C92"/>
    <w:rsid w:val="003E717F"/>
    <w:rsid w:val="003F0756"/>
    <w:rsid w:val="003F4B87"/>
    <w:rsid w:val="004056D2"/>
    <w:rsid w:val="00412A3C"/>
    <w:rsid w:val="00414183"/>
    <w:rsid w:val="0041558D"/>
    <w:rsid w:val="0041571F"/>
    <w:rsid w:val="00420503"/>
    <w:rsid w:val="00420C71"/>
    <w:rsid w:val="0042196F"/>
    <w:rsid w:val="00423289"/>
    <w:rsid w:val="00430401"/>
    <w:rsid w:val="0043172D"/>
    <w:rsid w:val="00434F0D"/>
    <w:rsid w:val="00436981"/>
    <w:rsid w:val="00437EE7"/>
    <w:rsid w:val="00440432"/>
    <w:rsid w:val="00440CC3"/>
    <w:rsid w:val="00440E64"/>
    <w:rsid w:val="00446501"/>
    <w:rsid w:val="00454B8A"/>
    <w:rsid w:val="0045521A"/>
    <w:rsid w:val="004575F0"/>
    <w:rsid w:val="004610BC"/>
    <w:rsid w:val="004612FE"/>
    <w:rsid w:val="004671C7"/>
    <w:rsid w:val="00473350"/>
    <w:rsid w:val="004762C5"/>
    <w:rsid w:val="00477845"/>
    <w:rsid w:val="00481113"/>
    <w:rsid w:val="00482794"/>
    <w:rsid w:val="004867C3"/>
    <w:rsid w:val="004906C2"/>
    <w:rsid w:val="004942B9"/>
    <w:rsid w:val="004A11D9"/>
    <w:rsid w:val="004A4FC8"/>
    <w:rsid w:val="004B1F44"/>
    <w:rsid w:val="004B322D"/>
    <w:rsid w:val="004B3BAE"/>
    <w:rsid w:val="004B40B4"/>
    <w:rsid w:val="004B49A9"/>
    <w:rsid w:val="004B5D8E"/>
    <w:rsid w:val="004C6198"/>
    <w:rsid w:val="004C6A9D"/>
    <w:rsid w:val="004C7727"/>
    <w:rsid w:val="004D0C4A"/>
    <w:rsid w:val="004D19B2"/>
    <w:rsid w:val="004E26CB"/>
    <w:rsid w:val="004E65B5"/>
    <w:rsid w:val="004F25E8"/>
    <w:rsid w:val="004F2BA5"/>
    <w:rsid w:val="004F5D58"/>
    <w:rsid w:val="004F7493"/>
    <w:rsid w:val="005118C8"/>
    <w:rsid w:val="0051331F"/>
    <w:rsid w:val="00523C13"/>
    <w:rsid w:val="00524CE1"/>
    <w:rsid w:val="00524E1E"/>
    <w:rsid w:val="00527143"/>
    <w:rsid w:val="0053014F"/>
    <w:rsid w:val="00535215"/>
    <w:rsid w:val="00541219"/>
    <w:rsid w:val="00541467"/>
    <w:rsid w:val="00546536"/>
    <w:rsid w:val="005469B0"/>
    <w:rsid w:val="005500DF"/>
    <w:rsid w:val="00552716"/>
    <w:rsid w:val="005541B1"/>
    <w:rsid w:val="0055592F"/>
    <w:rsid w:val="005569F3"/>
    <w:rsid w:val="00557E47"/>
    <w:rsid w:val="0056061B"/>
    <w:rsid w:val="00560B29"/>
    <w:rsid w:val="00570608"/>
    <w:rsid w:val="00570D25"/>
    <w:rsid w:val="00572D65"/>
    <w:rsid w:val="00574DE0"/>
    <w:rsid w:val="00576AF3"/>
    <w:rsid w:val="005808C3"/>
    <w:rsid w:val="005835CF"/>
    <w:rsid w:val="005844D7"/>
    <w:rsid w:val="005867EB"/>
    <w:rsid w:val="00587296"/>
    <w:rsid w:val="005905D4"/>
    <w:rsid w:val="005A2560"/>
    <w:rsid w:val="005A3AC6"/>
    <w:rsid w:val="005A3FC6"/>
    <w:rsid w:val="005A44DD"/>
    <w:rsid w:val="005A47C7"/>
    <w:rsid w:val="005A6434"/>
    <w:rsid w:val="005B0A66"/>
    <w:rsid w:val="005B20FA"/>
    <w:rsid w:val="005B61EB"/>
    <w:rsid w:val="005C03F8"/>
    <w:rsid w:val="005C23F6"/>
    <w:rsid w:val="005C2903"/>
    <w:rsid w:val="005C4400"/>
    <w:rsid w:val="005C4BEA"/>
    <w:rsid w:val="005C4E95"/>
    <w:rsid w:val="005C5394"/>
    <w:rsid w:val="005D3326"/>
    <w:rsid w:val="005D718E"/>
    <w:rsid w:val="005E1A72"/>
    <w:rsid w:val="005E6C0F"/>
    <w:rsid w:val="005F30DD"/>
    <w:rsid w:val="005F5B27"/>
    <w:rsid w:val="00602C2A"/>
    <w:rsid w:val="006063BE"/>
    <w:rsid w:val="00612466"/>
    <w:rsid w:val="00616F1F"/>
    <w:rsid w:val="0061772E"/>
    <w:rsid w:val="00622A10"/>
    <w:rsid w:val="00622B6E"/>
    <w:rsid w:val="00630C86"/>
    <w:rsid w:val="0063644F"/>
    <w:rsid w:val="006403DB"/>
    <w:rsid w:val="006412AF"/>
    <w:rsid w:val="00647343"/>
    <w:rsid w:val="006574DF"/>
    <w:rsid w:val="0065762F"/>
    <w:rsid w:val="00664E53"/>
    <w:rsid w:val="006659C9"/>
    <w:rsid w:val="006673F7"/>
    <w:rsid w:val="00671017"/>
    <w:rsid w:val="006739DA"/>
    <w:rsid w:val="006770A7"/>
    <w:rsid w:val="0068071C"/>
    <w:rsid w:val="00681794"/>
    <w:rsid w:val="00684011"/>
    <w:rsid w:val="00686ADF"/>
    <w:rsid w:val="00687B3F"/>
    <w:rsid w:val="006926E9"/>
    <w:rsid w:val="00693D14"/>
    <w:rsid w:val="00694067"/>
    <w:rsid w:val="00695F9B"/>
    <w:rsid w:val="006A104B"/>
    <w:rsid w:val="006A2BE0"/>
    <w:rsid w:val="006A58B4"/>
    <w:rsid w:val="006A7622"/>
    <w:rsid w:val="006B27BF"/>
    <w:rsid w:val="006B6A85"/>
    <w:rsid w:val="006C0E57"/>
    <w:rsid w:val="006C3CE4"/>
    <w:rsid w:val="006D0614"/>
    <w:rsid w:val="006D38EC"/>
    <w:rsid w:val="006D5A42"/>
    <w:rsid w:val="006D70DF"/>
    <w:rsid w:val="006E41F4"/>
    <w:rsid w:val="006E7D6D"/>
    <w:rsid w:val="006F03D0"/>
    <w:rsid w:val="006F22B8"/>
    <w:rsid w:val="006F5049"/>
    <w:rsid w:val="006F5634"/>
    <w:rsid w:val="00700BD5"/>
    <w:rsid w:val="00700EFD"/>
    <w:rsid w:val="0070497A"/>
    <w:rsid w:val="00711BA6"/>
    <w:rsid w:val="0071300D"/>
    <w:rsid w:val="007260A1"/>
    <w:rsid w:val="00727CA1"/>
    <w:rsid w:val="00727FF9"/>
    <w:rsid w:val="007339EC"/>
    <w:rsid w:val="00734F56"/>
    <w:rsid w:val="007365FA"/>
    <w:rsid w:val="00741049"/>
    <w:rsid w:val="00742998"/>
    <w:rsid w:val="00744A54"/>
    <w:rsid w:val="00750A12"/>
    <w:rsid w:val="00750CEE"/>
    <w:rsid w:val="0076152B"/>
    <w:rsid w:val="00761834"/>
    <w:rsid w:val="007626C5"/>
    <w:rsid w:val="00765B10"/>
    <w:rsid w:val="007668B7"/>
    <w:rsid w:val="00776217"/>
    <w:rsid w:val="00777E75"/>
    <w:rsid w:val="00780905"/>
    <w:rsid w:val="007827DE"/>
    <w:rsid w:val="007839B0"/>
    <w:rsid w:val="00785EF8"/>
    <w:rsid w:val="00786CF6"/>
    <w:rsid w:val="00792F95"/>
    <w:rsid w:val="007A4381"/>
    <w:rsid w:val="007A7454"/>
    <w:rsid w:val="007B131B"/>
    <w:rsid w:val="007B19A9"/>
    <w:rsid w:val="007B24A8"/>
    <w:rsid w:val="007B2B1E"/>
    <w:rsid w:val="007B4A6D"/>
    <w:rsid w:val="007B4C1F"/>
    <w:rsid w:val="007B4E8F"/>
    <w:rsid w:val="007B55BE"/>
    <w:rsid w:val="007B5600"/>
    <w:rsid w:val="007B789D"/>
    <w:rsid w:val="007B7991"/>
    <w:rsid w:val="007C1125"/>
    <w:rsid w:val="007C29F3"/>
    <w:rsid w:val="007C607B"/>
    <w:rsid w:val="007D02ED"/>
    <w:rsid w:val="007D244E"/>
    <w:rsid w:val="007D383E"/>
    <w:rsid w:val="007D5B78"/>
    <w:rsid w:val="007E37E0"/>
    <w:rsid w:val="007E6C45"/>
    <w:rsid w:val="007F42F2"/>
    <w:rsid w:val="007F46BD"/>
    <w:rsid w:val="007F5C62"/>
    <w:rsid w:val="00801C4F"/>
    <w:rsid w:val="00803369"/>
    <w:rsid w:val="00807128"/>
    <w:rsid w:val="0081301C"/>
    <w:rsid w:val="008162B7"/>
    <w:rsid w:val="008220A4"/>
    <w:rsid w:val="00822662"/>
    <w:rsid w:val="00824D83"/>
    <w:rsid w:val="00827AB4"/>
    <w:rsid w:val="00827AC3"/>
    <w:rsid w:val="008327FD"/>
    <w:rsid w:val="00841857"/>
    <w:rsid w:val="00842D85"/>
    <w:rsid w:val="008436AD"/>
    <w:rsid w:val="00850324"/>
    <w:rsid w:val="008537CA"/>
    <w:rsid w:val="00853F0F"/>
    <w:rsid w:val="00854EAD"/>
    <w:rsid w:val="00855B2A"/>
    <w:rsid w:val="008561C5"/>
    <w:rsid w:val="00856697"/>
    <w:rsid w:val="00857446"/>
    <w:rsid w:val="00861B19"/>
    <w:rsid w:val="00863B6D"/>
    <w:rsid w:val="00867A48"/>
    <w:rsid w:val="0087580A"/>
    <w:rsid w:val="008765F0"/>
    <w:rsid w:val="008835A5"/>
    <w:rsid w:val="0088491A"/>
    <w:rsid w:val="008873E9"/>
    <w:rsid w:val="00887B28"/>
    <w:rsid w:val="0089169E"/>
    <w:rsid w:val="0089385D"/>
    <w:rsid w:val="008B15A0"/>
    <w:rsid w:val="008B3A66"/>
    <w:rsid w:val="008C1DB0"/>
    <w:rsid w:val="008C778E"/>
    <w:rsid w:val="008D2117"/>
    <w:rsid w:val="008E281D"/>
    <w:rsid w:val="008E2C34"/>
    <w:rsid w:val="008E4FD5"/>
    <w:rsid w:val="008E7150"/>
    <w:rsid w:val="008F2D62"/>
    <w:rsid w:val="008F6014"/>
    <w:rsid w:val="00904008"/>
    <w:rsid w:val="009078D6"/>
    <w:rsid w:val="00912AE8"/>
    <w:rsid w:val="00915CF3"/>
    <w:rsid w:val="0091705E"/>
    <w:rsid w:val="00922FAB"/>
    <w:rsid w:val="00924AFC"/>
    <w:rsid w:val="009265D3"/>
    <w:rsid w:val="00941A7C"/>
    <w:rsid w:val="00942920"/>
    <w:rsid w:val="00945552"/>
    <w:rsid w:val="009477A5"/>
    <w:rsid w:val="00947F04"/>
    <w:rsid w:val="009517C8"/>
    <w:rsid w:val="009569DF"/>
    <w:rsid w:val="0095754B"/>
    <w:rsid w:val="009732B1"/>
    <w:rsid w:val="00975C39"/>
    <w:rsid w:val="00977AF0"/>
    <w:rsid w:val="00983AC2"/>
    <w:rsid w:val="009844DA"/>
    <w:rsid w:val="00995B89"/>
    <w:rsid w:val="009965C0"/>
    <w:rsid w:val="009A10DF"/>
    <w:rsid w:val="009A19A9"/>
    <w:rsid w:val="009B3804"/>
    <w:rsid w:val="009C1D98"/>
    <w:rsid w:val="009C4FD6"/>
    <w:rsid w:val="009C7048"/>
    <w:rsid w:val="009D0D22"/>
    <w:rsid w:val="009D14B5"/>
    <w:rsid w:val="009D1F94"/>
    <w:rsid w:val="009D3BF5"/>
    <w:rsid w:val="009D5AEF"/>
    <w:rsid w:val="009D6794"/>
    <w:rsid w:val="009E714B"/>
    <w:rsid w:val="009F2EF7"/>
    <w:rsid w:val="009F4479"/>
    <w:rsid w:val="00A16F52"/>
    <w:rsid w:val="00A2095D"/>
    <w:rsid w:val="00A2428D"/>
    <w:rsid w:val="00A25C08"/>
    <w:rsid w:val="00A32C58"/>
    <w:rsid w:val="00A32D8B"/>
    <w:rsid w:val="00A332A6"/>
    <w:rsid w:val="00A36786"/>
    <w:rsid w:val="00A44535"/>
    <w:rsid w:val="00A45772"/>
    <w:rsid w:val="00A50ED3"/>
    <w:rsid w:val="00A53BD4"/>
    <w:rsid w:val="00A53C9F"/>
    <w:rsid w:val="00A62381"/>
    <w:rsid w:val="00A62CD2"/>
    <w:rsid w:val="00A62D53"/>
    <w:rsid w:val="00A63F15"/>
    <w:rsid w:val="00A6548F"/>
    <w:rsid w:val="00A8126A"/>
    <w:rsid w:val="00A8152D"/>
    <w:rsid w:val="00A843E9"/>
    <w:rsid w:val="00A85D41"/>
    <w:rsid w:val="00A86C08"/>
    <w:rsid w:val="00AA29E9"/>
    <w:rsid w:val="00AA4347"/>
    <w:rsid w:val="00AA4883"/>
    <w:rsid w:val="00AA6209"/>
    <w:rsid w:val="00AA7D10"/>
    <w:rsid w:val="00AB132B"/>
    <w:rsid w:val="00AB260F"/>
    <w:rsid w:val="00AB3727"/>
    <w:rsid w:val="00AC2168"/>
    <w:rsid w:val="00AC222D"/>
    <w:rsid w:val="00AC65CF"/>
    <w:rsid w:val="00AD6544"/>
    <w:rsid w:val="00AE0163"/>
    <w:rsid w:val="00AE5EBE"/>
    <w:rsid w:val="00AE7C17"/>
    <w:rsid w:val="00AE7C93"/>
    <w:rsid w:val="00AF1D28"/>
    <w:rsid w:val="00AF47F0"/>
    <w:rsid w:val="00AF5FD3"/>
    <w:rsid w:val="00B035D6"/>
    <w:rsid w:val="00B04666"/>
    <w:rsid w:val="00B060B5"/>
    <w:rsid w:val="00B11342"/>
    <w:rsid w:val="00B141C6"/>
    <w:rsid w:val="00B15805"/>
    <w:rsid w:val="00B25636"/>
    <w:rsid w:val="00B31566"/>
    <w:rsid w:val="00B35E70"/>
    <w:rsid w:val="00B40632"/>
    <w:rsid w:val="00B530FA"/>
    <w:rsid w:val="00B552B0"/>
    <w:rsid w:val="00B667B3"/>
    <w:rsid w:val="00B67A3B"/>
    <w:rsid w:val="00B72CE3"/>
    <w:rsid w:val="00B76470"/>
    <w:rsid w:val="00B96331"/>
    <w:rsid w:val="00B97669"/>
    <w:rsid w:val="00BA3B7A"/>
    <w:rsid w:val="00BA6196"/>
    <w:rsid w:val="00BA77DD"/>
    <w:rsid w:val="00BB00F9"/>
    <w:rsid w:val="00BB055B"/>
    <w:rsid w:val="00BC1C2E"/>
    <w:rsid w:val="00BC2D3D"/>
    <w:rsid w:val="00BC540C"/>
    <w:rsid w:val="00BD5EDA"/>
    <w:rsid w:val="00BE0888"/>
    <w:rsid w:val="00BE3DD3"/>
    <w:rsid w:val="00BE4624"/>
    <w:rsid w:val="00C06198"/>
    <w:rsid w:val="00C114F9"/>
    <w:rsid w:val="00C12BA7"/>
    <w:rsid w:val="00C221B3"/>
    <w:rsid w:val="00C222F5"/>
    <w:rsid w:val="00C24C04"/>
    <w:rsid w:val="00C3244C"/>
    <w:rsid w:val="00C332C3"/>
    <w:rsid w:val="00C3451D"/>
    <w:rsid w:val="00C423B7"/>
    <w:rsid w:val="00C45B71"/>
    <w:rsid w:val="00C45DC8"/>
    <w:rsid w:val="00C47141"/>
    <w:rsid w:val="00C54D67"/>
    <w:rsid w:val="00C635A7"/>
    <w:rsid w:val="00C66253"/>
    <w:rsid w:val="00C805F2"/>
    <w:rsid w:val="00C81F13"/>
    <w:rsid w:val="00C82ACE"/>
    <w:rsid w:val="00C923C9"/>
    <w:rsid w:val="00C92EC5"/>
    <w:rsid w:val="00C95454"/>
    <w:rsid w:val="00CA02F6"/>
    <w:rsid w:val="00CA7300"/>
    <w:rsid w:val="00CB0813"/>
    <w:rsid w:val="00CB0FF8"/>
    <w:rsid w:val="00CB2540"/>
    <w:rsid w:val="00CB6B0B"/>
    <w:rsid w:val="00CB7F4B"/>
    <w:rsid w:val="00CC5226"/>
    <w:rsid w:val="00CC62E6"/>
    <w:rsid w:val="00CC71E3"/>
    <w:rsid w:val="00CC7FBD"/>
    <w:rsid w:val="00CD1CD8"/>
    <w:rsid w:val="00CE2032"/>
    <w:rsid w:val="00CE5F94"/>
    <w:rsid w:val="00CF5794"/>
    <w:rsid w:val="00CF621D"/>
    <w:rsid w:val="00D00683"/>
    <w:rsid w:val="00D00D11"/>
    <w:rsid w:val="00D0594C"/>
    <w:rsid w:val="00D10B80"/>
    <w:rsid w:val="00D1480A"/>
    <w:rsid w:val="00D17090"/>
    <w:rsid w:val="00D2334D"/>
    <w:rsid w:val="00D26A9A"/>
    <w:rsid w:val="00D27880"/>
    <w:rsid w:val="00D32299"/>
    <w:rsid w:val="00D346B6"/>
    <w:rsid w:val="00D350D6"/>
    <w:rsid w:val="00D41CCB"/>
    <w:rsid w:val="00D55E2D"/>
    <w:rsid w:val="00D61D15"/>
    <w:rsid w:val="00D76765"/>
    <w:rsid w:val="00D8276B"/>
    <w:rsid w:val="00D82B43"/>
    <w:rsid w:val="00D835BB"/>
    <w:rsid w:val="00D85134"/>
    <w:rsid w:val="00D911D8"/>
    <w:rsid w:val="00D92007"/>
    <w:rsid w:val="00D93CB6"/>
    <w:rsid w:val="00D965BA"/>
    <w:rsid w:val="00D979D0"/>
    <w:rsid w:val="00DA04E3"/>
    <w:rsid w:val="00DA15C7"/>
    <w:rsid w:val="00DA160B"/>
    <w:rsid w:val="00DA3F3E"/>
    <w:rsid w:val="00DA764F"/>
    <w:rsid w:val="00DB0388"/>
    <w:rsid w:val="00DB6DFB"/>
    <w:rsid w:val="00DB7749"/>
    <w:rsid w:val="00DC26FF"/>
    <w:rsid w:val="00DD2DAF"/>
    <w:rsid w:val="00DD3016"/>
    <w:rsid w:val="00DD6A96"/>
    <w:rsid w:val="00DD7D1F"/>
    <w:rsid w:val="00DE0500"/>
    <w:rsid w:val="00DE3B0C"/>
    <w:rsid w:val="00DE3D89"/>
    <w:rsid w:val="00DE61E5"/>
    <w:rsid w:val="00DE7A70"/>
    <w:rsid w:val="00E0179B"/>
    <w:rsid w:val="00E01E91"/>
    <w:rsid w:val="00E061A9"/>
    <w:rsid w:val="00E11F32"/>
    <w:rsid w:val="00E152D1"/>
    <w:rsid w:val="00E16B2D"/>
    <w:rsid w:val="00E23510"/>
    <w:rsid w:val="00E32429"/>
    <w:rsid w:val="00E3348D"/>
    <w:rsid w:val="00E35F8C"/>
    <w:rsid w:val="00E401F0"/>
    <w:rsid w:val="00E41094"/>
    <w:rsid w:val="00E43A09"/>
    <w:rsid w:val="00E502B9"/>
    <w:rsid w:val="00E52FA2"/>
    <w:rsid w:val="00E55A1E"/>
    <w:rsid w:val="00E56D15"/>
    <w:rsid w:val="00E6289F"/>
    <w:rsid w:val="00E65619"/>
    <w:rsid w:val="00E74F89"/>
    <w:rsid w:val="00E76310"/>
    <w:rsid w:val="00E77874"/>
    <w:rsid w:val="00E77A90"/>
    <w:rsid w:val="00E77CD5"/>
    <w:rsid w:val="00E80530"/>
    <w:rsid w:val="00E80E5D"/>
    <w:rsid w:val="00E812E4"/>
    <w:rsid w:val="00E830D5"/>
    <w:rsid w:val="00E84EDC"/>
    <w:rsid w:val="00E85922"/>
    <w:rsid w:val="00E90069"/>
    <w:rsid w:val="00E910DE"/>
    <w:rsid w:val="00E95DC1"/>
    <w:rsid w:val="00E967FD"/>
    <w:rsid w:val="00EA08A8"/>
    <w:rsid w:val="00EA12F7"/>
    <w:rsid w:val="00EA13B7"/>
    <w:rsid w:val="00EA1C07"/>
    <w:rsid w:val="00EA6A41"/>
    <w:rsid w:val="00EB1713"/>
    <w:rsid w:val="00EB6D28"/>
    <w:rsid w:val="00ED1B27"/>
    <w:rsid w:val="00ED1E59"/>
    <w:rsid w:val="00ED3F89"/>
    <w:rsid w:val="00ED50FC"/>
    <w:rsid w:val="00EE4DF6"/>
    <w:rsid w:val="00EE6BF3"/>
    <w:rsid w:val="00EE711A"/>
    <w:rsid w:val="00EF21A5"/>
    <w:rsid w:val="00EF24FC"/>
    <w:rsid w:val="00EF5117"/>
    <w:rsid w:val="00EF7EA2"/>
    <w:rsid w:val="00F00187"/>
    <w:rsid w:val="00F03635"/>
    <w:rsid w:val="00F14C0E"/>
    <w:rsid w:val="00F16233"/>
    <w:rsid w:val="00F23136"/>
    <w:rsid w:val="00F247E0"/>
    <w:rsid w:val="00F2523B"/>
    <w:rsid w:val="00F27BCD"/>
    <w:rsid w:val="00F42E65"/>
    <w:rsid w:val="00F461C5"/>
    <w:rsid w:val="00F5163A"/>
    <w:rsid w:val="00F52D7D"/>
    <w:rsid w:val="00F564C0"/>
    <w:rsid w:val="00F57210"/>
    <w:rsid w:val="00F57815"/>
    <w:rsid w:val="00F6101A"/>
    <w:rsid w:val="00F63237"/>
    <w:rsid w:val="00F66FAD"/>
    <w:rsid w:val="00F67517"/>
    <w:rsid w:val="00F71965"/>
    <w:rsid w:val="00F76F1B"/>
    <w:rsid w:val="00F81010"/>
    <w:rsid w:val="00F8189A"/>
    <w:rsid w:val="00F8518E"/>
    <w:rsid w:val="00F85FB8"/>
    <w:rsid w:val="00F94D31"/>
    <w:rsid w:val="00F96388"/>
    <w:rsid w:val="00F97396"/>
    <w:rsid w:val="00F97D4B"/>
    <w:rsid w:val="00FA2B2F"/>
    <w:rsid w:val="00FB1962"/>
    <w:rsid w:val="00FB1B03"/>
    <w:rsid w:val="00FB3390"/>
    <w:rsid w:val="00FB6BAC"/>
    <w:rsid w:val="00FC62D7"/>
    <w:rsid w:val="00FC69E4"/>
    <w:rsid w:val="00FD7200"/>
    <w:rsid w:val="00FE33F3"/>
    <w:rsid w:val="00FE34CE"/>
    <w:rsid w:val="00FE717A"/>
    <w:rsid w:val="00FF1A51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BE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434"/>
    <w:pPr>
      <w:numPr>
        <w:numId w:val="1"/>
      </w:numPr>
      <w:spacing w:before="240" w:after="240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3E90"/>
    <w:pPr>
      <w:numPr>
        <w:ilvl w:val="1"/>
      </w:numPr>
      <w:spacing w:before="160" w:after="16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5A6434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B035D6"/>
    <w:pPr>
      <w:tabs>
        <w:tab w:val="left" w:pos="440"/>
        <w:tab w:val="right" w:leader="dot" w:pos="9062"/>
      </w:tabs>
      <w:spacing w:after="0"/>
      <w:contextualSpacing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73E90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header" Target="header1.xml"/><Relationship Id="rId56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B35-4BC6-B692-BE7A5E5B8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B35-4BC6-B692-BE7A5E5B82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B35-4BC6-B692-BE7A5E5B826E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12290263</c:v>
                </c:pt>
                <c:pt idx="1">
                  <c:v>10992439</c:v>
                </c:pt>
                <c:pt idx="2">
                  <c:v>9413831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35-4BC6-B692-BE7A5E5B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15B-4BB9-BBEC-91017DE8A4D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-3.3227415420627238E-2</c:v>
                </c:pt>
                <c:pt idx="1">
                  <c:v>0.13400000000000001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B-4BB9-BBEC-91017DE8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534439</c:v>
                </c:pt>
                <c:pt idx="1">
                  <c:v>473379</c:v>
                </c:pt>
                <c:pt idx="2">
                  <c:v>164247</c:v>
                </c:pt>
                <c:pt idx="3">
                  <c:v>146920</c:v>
                </c:pt>
                <c:pt idx="4">
                  <c:v>91937</c:v>
                </c:pt>
                <c:pt idx="5">
                  <c:v>138337</c:v>
                </c:pt>
                <c:pt idx="6">
                  <c:v>-262308</c:v>
                </c:pt>
                <c:pt idx="7">
                  <c:v>23024</c:v>
                </c:pt>
                <c:pt idx="8">
                  <c:v>354</c:v>
                </c:pt>
                <c:pt idx="9">
                  <c:v>-3693</c:v>
                </c:pt>
                <c:pt idx="10">
                  <c:v>4143</c:v>
                </c:pt>
                <c:pt idx="11">
                  <c:v>-101</c:v>
                </c:pt>
                <c:pt idx="12">
                  <c:v>-11360</c:v>
                </c:pt>
                <c:pt idx="13">
                  <c:v>3819</c:v>
                </c:pt>
                <c:pt idx="14">
                  <c:v>-5313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3810606915590897E-2"/>
                  <c:y val="-0.244086791920383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5-41D5-B851-73C9030CF6CB}"/>
                </c:ext>
              </c:extLst>
            </c:dLbl>
            <c:dLbl>
              <c:idx val="1"/>
              <c:layout>
                <c:manualLayout>
                  <c:x val="-4.3810590277777776E-2"/>
                  <c:y val="-8.5285473468191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5-41D5-B851-73C9030CF6CB}"/>
                </c:ext>
              </c:extLst>
            </c:dLbl>
            <c:dLbl>
              <c:idx val="6"/>
              <c:layout>
                <c:manualLayout>
                  <c:x val="-4.786672338504553E-2"/>
                  <c:y val="0.133465391529340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4B-4E13-BEFC-266BDB296381}"/>
                </c:ext>
              </c:extLst>
            </c:dLbl>
            <c:dLbl>
              <c:idx val="8"/>
              <c:layout>
                <c:manualLayout>
                  <c:x val="-4.5573448853623175E-2"/>
                  <c:y val="4.503160051235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4B-4E13-BEFC-266BDB296381}"/>
                </c:ext>
              </c:extLst>
            </c:dLbl>
            <c:dLbl>
              <c:idx val="12"/>
              <c:layout>
                <c:manualLayout>
                  <c:x val="-5.2276866714703663E-2"/>
                  <c:y val="4.0377190458825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4B-4E13-BEFC-266BDB29638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0.12450083328402428</c:v>
                </c:pt>
                <c:pt idx="1">
                  <c:v>0.218545724665415</c:v>
                </c:pt>
                <c:pt idx="2">
                  <c:v>0.17807737969392901</c:v>
                </c:pt>
                <c:pt idx="3">
                  <c:v>0.11956039663583806</c:v>
                </c:pt>
                <c:pt idx="4">
                  <c:v>0.12141417663077214</c:v>
                </c:pt>
                <c:pt idx="5">
                  <c:v>0.28434622997724612</c:v>
                </c:pt>
                <c:pt idx="6">
                  <c:v>-0.44235108417399394</c:v>
                </c:pt>
                <c:pt idx="7">
                  <c:v>0.12779112943958171</c:v>
                </c:pt>
                <c:pt idx="8">
                  <c:v>4.1395762196547725E-3</c:v>
                </c:pt>
                <c:pt idx="9">
                  <c:v>-5.2111702202717769E-2</c:v>
                </c:pt>
                <c:pt idx="10">
                  <c:v>6.1610528663841091E-2</c:v>
                </c:pt>
                <c:pt idx="11">
                  <c:v>-1.156281125141656E-3</c:v>
                </c:pt>
                <c:pt idx="12">
                  <c:v>-0.4727620791543552</c:v>
                </c:pt>
                <c:pt idx="13">
                  <c:v>0.31899432008018702</c:v>
                </c:pt>
                <c:pt idx="14">
                  <c:v>-0.28390509778775253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/>
        </c:spPr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39-45FA-9742-13BA4DD4844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39-45FA-9742-13BA4DD484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0.12705198584584987</c:v>
                </c:pt>
                <c:pt idx="1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39-45FA-9742-13BA4DD4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0A7B-453B-AB87-22B824E32A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0A7B-453B-AB87-22B824E32ACB}"/>
              </c:ext>
            </c:extLst>
          </c:dPt>
          <c:dLbls>
            <c:dLbl>
              <c:idx val="0"/>
              <c:layout>
                <c:manualLayout>
                  <c:x val="3.5279590756747223E-3"/>
                  <c:y val="2.6429327652180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7B-453B-AB87-22B824E32A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1.317330210772738E-3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B-453B-AB87-22B824E32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D78-4DCE-8BC5-88E4FA71FE2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D78-4DCE-8BC5-88E4FA71FE2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D78-4DCE-8BC5-88E4FA71FE2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11147743</c:v>
                </c:pt>
                <c:pt idx="1">
                  <c:v>10119023</c:v>
                </c:pt>
                <c:pt idx="2">
                  <c:v>8909721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8-4DCE-8BC5-88E4FA71F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77B-4CFB-9D9B-1E500E68961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77B-4CFB-9D9B-1E500E68961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0.10166198851410857</c:v>
                </c:pt>
                <c:pt idx="1">
                  <c:v>0.25118878582168858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7B-4CFB-9D9B-1E500E689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7F1-41D5-B8A7-FCA026C6C5E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7F1-41D5-B8A7-FCA026C6C5E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7F1-41D5-B8A7-FCA026C6C5E1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1141657</c:v>
                </c:pt>
                <c:pt idx="1">
                  <c:v>872553</c:v>
                </c:pt>
                <c:pt idx="2">
                  <c:v>501805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1-41D5-B8A7-FCA026C6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543-47EF-8087-9149DDB624A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543-47EF-8087-9149DDB624A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0.30840991893902148</c:v>
                </c:pt>
                <c:pt idx="1">
                  <c:v>1.2751008858022539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43-47EF-8087-9149DDB62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0BE-471E-A6D9-61B842923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0BE-471E-A6D9-61B84292326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22227.656081250021</c:v>
                </c:pt>
                <c:pt idx="1">
                  <c:v>19139.936231209977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BE-471E-A6D9-61B842923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2D9-4D23-B8AC-DF86FEB4D93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2D9-4D23-B8AC-DF86FEB4D93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2D9-4D23-B8AC-DF86FEB4D93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IATA!$C$21:$C$23</c:f>
              <c:numCache>
                <c:formatCode>0.0%</c:formatCode>
                <c:ptCount val="3"/>
                <c:pt idx="0">
                  <c:v>0.16132341365929648</c:v>
                </c:pt>
                <c:pt idx="1">
                  <c:v>5.5E-2</c:v>
                </c:pt>
                <c:pt idx="2">
                  <c:v>5.2999999999999999E-2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9-4D23-B8AC-DF86FEB4D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B8F-4C6F-AA7A-B3C0B972AB5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B8F-4C6F-AA7A-B3C0B972AB5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B8F-4C6F-AA7A-B3C0B972AB5D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91931</c:v>
                </c:pt>
                <c:pt idx="1">
                  <c:v>84975</c:v>
                </c:pt>
                <c:pt idx="2">
                  <c:v>73403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8F-4C6F-AA7A-B3C0B972A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784591708185003"/>
          <c:y val="4.8398013677428083E-2"/>
          <c:w val="0.78215408291814992"/>
          <c:h val="0.7284981101841953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41F-4AA5-8D28-5EBBE82BB08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41F-4AA5-8D28-5EBBE82BB08D}"/>
              </c:ext>
            </c:extLst>
          </c:dPt>
          <c:dLbls>
            <c:dLbl>
              <c:idx val="0"/>
              <c:layout>
                <c:manualLayout>
                  <c:x val="0"/>
                  <c:y val="0.1057152296002642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1F-4AA5-8D28-5EBBE82BB08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IATA!$B$13:$B$14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IATA!$C$13:$C$14</c:f>
              <c:numCache>
                <c:formatCode>#,##0</c:formatCode>
                <c:ptCount val="2"/>
                <c:pt idx="0">
                  <c:v>25684.428007179962</c:v>
                </c:pt>
                <c:pt idx="1">
                  <c:v>22333.287552160036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1F-4AA5-8D28-5EBBE82BB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7984"/>
        <c:axId val="130387968"/>
      </c:barChart>
      <c:catAx>
        <c:axId val="13037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7968"/>
        <c:crosses val="autoZero"/>
        <c:auto val="1"/>
        <c:lblAlgn val="ctr"/>
        <c:lblOffset val="100"/>
        <c:noMultiLvlLbl val="0"/>
      </c:catAx>
      <c:valAx>
        <c:axId val="1303879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77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99F-412B-B80F-C29C71E4A9A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99F-412B-B80F-C29C71E4A9A5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99F-412B-B80F-C29C71E4A9A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IATA!$C$24:$C$26</c:f>
              <c:numCache>
                <c:formatCode>0.0%</c:formatCode>
                <c:ptCount val="3"/>
                <c:pt idx="0">
                  <c:v>0.15005137274094738</c:v>
                </c:pt>
                <c:pt idx="1">
                  <c:v>5.2999999999999999E-2</c:v>
                </c:pt>
                <c:pt idx="2">
                  <c:v>4.9000000000000002E-2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9F-412B-B80F-C29C71E4A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12082518571965"/>
          <c:y val="7.7345538761633206E-2"/>
          <c:w val="0.762683934738558"/>
          <c:h val="0.74813248828588264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D64-43E6-B440-AF6AD108F1D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D64-43E6-B440-AF6AD108F1D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IATA!$B$17:$B$18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IATA!$C$17:$C$18</c:f>
              <c:numCache>
                <c:formatCode>0.0%</c:formatCode>
                <c:ptCount val="2"/>
                <c:pt idx="0">
                  <c:v>0.8654137080660852</c:v>
                </c:pt>
                <c:pt idx="1">
                  <c:v>0.85701382684963434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64-43E6-B440-AF6AD108F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35328"/>
        <c:axId val="130445312"/>
      </c:barChart>
      <c:catAx>
        <c:axId val="1304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45312"/>
        <c:crosses val="autoZero"/>
        <c:auto val="1"/>
        <c:lblAlgn val="ctr"/>
        <c:lblOffset val="100"/>
        <c:noMultiLvlLbl val="0"/>
      </c:catAx>
      <c:valAx>
        <c:axId val="130445312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35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5DF-4130-AF49-7CC4A062732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5DF-4130-AF49-7CC4A062732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55DF-4130-AF49-7CC4A062732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IATA!$C$27:$C$29</c:f>
              <c:numCache>
                <c:formatCode>0.0%</c:formatCode>
                <c:ptCount val="3"/>
                <c:pt idx="0">
                  <c:v>8.3998812164508552E-3</c:v>
                </c:pt>
                <c:pt idx="1">
                  <c:v>1.0000000000000009E-3</c:v>
                </c:pt>
                <c:pt idx="2">
                  <c:v>4.0000000000000036E-3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5DF-4130-AF49-7CC4A0627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44645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7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04392361111111E-2"/>
          <c:y val="4.0451388888888891E-2"/>
          <c:w val="0.66173350694444433"/>
          <c:h val="0.924270833333333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B572-40B5-9D87-4B5541C6BA9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B572-40B5-9D87-4B5541C6BA9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B572-40B5-9D87-4B5541C6BA9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B572-40B5-9D87-4B5541C6BA9E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B572-40B5-9D87-4B5541C6BA9E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B572-40B5-9D87-4B5541C6BA9E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B572-40B5-9D87-4B5541C6BA9E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B572-40B5-9D87-4B5541C6BA9E}"/>
              </c:ext>
            </c:extLst>
          </c:dPt>
          <c:dLbls>
            <c:dLbl>
              <c:idx val="0"/>
              <c:layout>
                <c:manualLayout>
                  <c:x val="-9.2137096424137727E-2"/>
                  <c:y val="-0.15783312642700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72-40B5-9D87-4B5541C6BA9E}"/>
                </c:ext>
              </c:extLst>
            </c:dLbl>
            <c:dLbl>
              <c:idx val="1"/>
              <c:layout>
                <c:manualLayout>
                  <c:x val="9.9314170623931112E-3"/>
                  <c:y val="-6.51451093420378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72-40B5-9D87-4B5541C6BA9E}"/>
                </c:ext>
              </c:extLst>
            </c:dLbl>
            <c:dLbl>
              <c:idx val="2"/>
              <c:layout>
                <c:manualLayout>
                  <c:x val="4.6422314630737309E-2"/>
                  <c:y val="-0.13308909704919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72-40B5-9D87-4B5541C6BA9E}"/>
                </c:ext>
              </c:extLst>
            </c:dLbl>
            <c:dLbl>
              <c:idx val="3"/>
              <c:layout>
                <c:manualLayout>
                  <c:x val="-1.174244068444037E-3"/>
                  <c:y val="1.633142053494691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72-40B5-9D87-4B5541C6BA9E}"/>
                </c:ext>
              </c:extLst>
            </c:dLbl>
            <c:dLbl>
              <c:idx val="4"/>
              <c:layout>
                <c:manualLayout>
                  <c:x val="-3.787931139258089E-2"/>
                  <c:y val="-3.3409787392893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72-40B5-9D87-4B5541C6BA9E}"/>
                </c:ext>
              </c:extLst>
            </c:dLbl>
            <c:dLbl>
              <c:idx val="7"/>
              <c:layout>
                <c:manualLayout>
                  <c:x val="1.1227460955473138E-2"/>
                  <c:y val="-7.1076231237357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72-40B5-9D87-4B5541C6B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Wizz Air</c:v>
                </c:pt>
                <c:pt idx="2">
                  <c:v>Polskie Linie Lotnicze LOT</c:v>
                </c:pt>
                <c:pt idx="3">
                  <c:v>Enter Air</c:v>
                </c:pt>
                <c:pt idx="4">
                  <c:v>Lufthansa</c:v>
                </c:pt>
                <c:pt idx="5">
                  <c:v>KLM Royal Dutch Airlines</c:v>
                </c:pt>
                <c:pt idx="6">
                  <c:v>EasyJet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0.00%</c:formatCode>
                <c:ptCount val="8"/>
                <c:pt idx="0">
                  <c:v>0.32059004752272952</c:v>
                </c:pt>
                <c:pt idx="1">
                  <c:v>0.24308917561781809</c:v>
                </c:pt>
                <c:pt idx="2">
                  <c:v>0.17387600764564115</c:v>
                </c:pt>
                <c:pt idx="3">
                  <c:v>4.5678081231981645E-2</c:v>
                </c:pt>
                <c:pt idx="4">
                  <c:v>3.6715020444127326E-2</c:v>
                </c:pt>
                <c:pt idx="5">
                  <c:v>2.2213233691031672E-2</c:v>
                </c:pt>
                <c:pt idx="6">
                  <c:v>1.4413466175826797E-2</c:v>
                </c:pt>
                <c:pt idx="7">
                  <c:v>0.14342496767084367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572-40B5-9D87-4B5541C6B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0.32290150829987407</c:v>
                </c:pt>
                <c:pt idx="1">
                  <c:v>0.32263385468394029</c:v>
                </c:pt>
                <c:pt idx="2">
                  <c:v>0.31865660225578235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6-434C-8924-E94FCB2B0BAD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0.61287204608525991</c:v>
                </c:pt>
                <c:pt idx="1">
                  <c:v>0.6196218603770306</c:v>
                </c:pt>
                <c:pt idx="2">
                  <c:v>0.62852066590452527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6-434C-8924-E94FCB2B0BAD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6.4226445614865957E-2</c:v>
                </c:pt>
                <c:pt idx="1">
                  <c:v>5.7744284939029125E-2</c:v>
                </c:pt>
                <c:pt idx="2">
                  <c:v>5.2822731839692369E-2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6-434C-8924-E94FCB2B0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E51-4C8F-871F-47E4B53C03A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E51-4C8F-871F-47E4B53C03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1-4C8F-871F-47E4B53C03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1-4C8F-871F-47E4B53C03A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0.00%</c:formatCode>
                <c:ptCount val="2"/>
                <c:pt idx="0">
                  <c:v>0.12798697619164745</c:v>
                </c:pt>
                <c:pt idx="1">
                  <c:v>0.1147745113277594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1-4C8F-871F-47E4B53C0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749-4C08-92EC-C8C363887AE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1749-4C08-92EC-C8C363887A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-1.4821392016756918E-2</c:v>
                </c:pt>
                <c:pt idx="1">
                  <c:v>2.5625678027826226E-2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49-4C08-92EC-C8C36388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B8D-4012-A922-23D10CF7C56F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B8D-4012-A922-23D10CF7C56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DB8D-4012-A922-23D10CF7C56F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CARGO!$Q$5:$Q$7</c:f>
              <c:numCache>
                <c:formatCode>#,##0</c:formatCode>
                <c:ptCount val="3"/>
                <c:pt idx="0">
                  <c:v>50994.694059999994</c:v>
                </c:pt>
                <c:pt idx="1">
                  <c:v>47050.539599999996</c:v>
                </c:pt>
                <c:pt idx="2">
                  <c:v>45070.426460000002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8D-4012-A922-23D10CF7C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81388888888888888"/>
          <c:h val="0.91243983001243345"/>
        </c:manualLayout>
      </c:layout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6E8-4707-84D7-BBAE48785D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PAX'!$Q$12:$Q$13</c:f>
              <c:strCache>
                <c:ptCount val="1"/>
                <c:pt idx="0">
                  <c:v>I-kwartał</c:v>
                </c:pt>
              </c:strCache>
              <c:extLst/>
            </c:strRef>
          </c:cat>
          <c:val>
            <c:numRef>
              <c:f>'PAX PAX'!$R$12:$R$13</c:f>
              <c:numCache>
                <c:formatCode>0.0%</c:formatCode>
                <c:ptCount val="1"/>
                <c:pt idx="0">
                  <c:v>0.11806515369337056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B6E8-4707-84D7-BBAE48785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7504"/>
        <c:axId val="735079040"/>
      </c:barChart>
      <c:catAx>
        <c:axId val="7350775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low"/>
        <c:crossAx val="735079040"/>
        <c:crosses val="autoZero"/>
        <c:auto val="1"/>
        <c:lblAlgn val="ctr"/>
        <c:lblOffset val="100"/>
        <c:noMultiLvlLbl val="0"/>
      </c:catAx>
      <c:valAx>
        <c:axId val="735079040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7350775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7E7-431A-A4AF-72145FEDBB1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7E7-431A-A4AF-72145FEDBB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PAX'!$Q$16:$Q$17</c:f>
              <c:strCache>
                <c:ptCount val="1"/>
                <c:pt idx="0">
                  <c:v>I-kwartał</c:v>
                </c:pt>
              </c:strCache>
              <c:extLst/>
            </c:strRef>
          </c:cat>
          <c:val>
            <c:numRef>
              <c:f>'PAX PAX'!$R$16:$R$17</c:f>
              <c:numCache>
                <c:formatCode>0.0%</c:formatCode>
                <c:ptCount val="1"/>
                <c:pt idx="0">
                  <c:v>0.30555381756906397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67E7-431A-A4AF-72145FEDB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69824"/>
        <c:axId val="107475712"/>
      </c:barChart>
      <c:catAx>
        <c:axId val="1074698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low"/>
        <c:crossAx val="107475712"/>
        <c:crosses val="autoZero"/>
        <c:auto val="1"/>
        <c:lblAlgn val="ctr"/>
        <c:lblOffset val="100"/>
        <c:noMultiLvlLbl val="0"/>
      </c:catAx>
      <c:valAx>
        <c:axId val="107475712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1074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2025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3884873</c:v>
                </c:pt>
                <c:pt idx="1">
                  <c:v>3991782</c:v>
                </c:pt>
                <c:pt idx="2">
                  <c:v>4413608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40-4767-86E0-DBE2A6C4A2DE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2024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3547461</c:v>
                </c:pt>
                <c:pt idx="1">
                  <c:v>3515905</c:v>
                </c:pt>
                <c:pt idx="2">
                  <c:v>3929073</c:v>
                </c:pt>
                <c:pt idx="3">
                  <c:v>4387664</c:v>
                </c:pt>
                <c:pt idx="4">
                  <c:v>5297664</c:v>
                </c:pt>
                <c:pt idx="5">
                  <c:v>5915448</c:v>
                </c:pt>
                <c:pt idx="6">
                  <c:v>6449013</c:v>
                </c:pt>
                <c:pt idx="7">
                  <c:v>6544767</c:v>
                </c:pt>
                <c:pt idx="8">
                  <c:v>6099322</c:v>
                </c:pt>
                <c:pt idx="9">
                  <c:v>5329993</c:v>
                </c:pt>
                <c:pt idx="10">
                  <c:v>4053695</c:v>
                </c:pt>
                <c:pt idx="11">
                  <c:v>4120263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40-4767-86E0-DBE2A6C4A2DE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  <c:pt idx="9">
                  <c:v>4723881</c:v>
                </c:pt>
                <c:pt idx="10">
                  <c:v>3603606</c:v>
                </c:pt>
                <c:pt idx="11">
                  <c:v>3695745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40-4767-86E0-DBE2A6C4A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30-45B0-A465-8E014499E8F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30-45B0-A465-8E014499E8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0.11806515369337056</c:v>
                </c:pt>
                <c:pt idx="1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30-45B0-A465-8E014499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C6F-40D0-9513-8A95CBE0209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AC6F-40D0-9513-8A95CBE0209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0.15604050044165274</c:v>
                </c:pt>
                <c:pt idx="1">
                  <c:v>6.0999999999999999E-2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6F-40D0-9513-8A95CBE02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5E8-4708-B867-C904B8374B1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5E8-4708-B867-C904B8374B1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7.2493577335407622E-2</c:v>
                </c:pt>
                <c:pt idx="1">
                  <c:v>3.5999999999999997E-2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8-4708-B867-C904B8374B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D858-0211-498C-9148-6B877A30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6414</Words>
  <Characters>38489</Characters>
  <Application>Microsoft Office Word</Application>
  <DocSecurity>8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przewozów lotniczych w trzech kwartałach 2024 roku</vt:lpstr>
    </vt:vector>
  </TitlesOfParts>
  <Company/>
  <LinksUpToDate>false</LinksUpToDate>
  <CharactersWithSpaces>44814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przewozów lotniczych w trzech kwartałach 2024 roku</dc:title>
  <dc:subject/>
  <dc:creator/>
  <cp:keywords/>
  <dc:description/>
  <cp:lastModifiedBy/>
  <cp:revision>1</cp:revision>
  <dcterms:created xsi:type="dcterms:W3CDTF">2025-06-20T09:10:00Z</dcterms:created>
  <dcterms:modified xsi:type="dcterms:W3CDTF">2025-06-24T06:59:00Z</dcterms:modified>
</cp:coreProperties>
</file>