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2A7" w:rsidRPr="009806F9" w:rsidRDefault="009212A7" w:rsidP="009806F9">
      <w:pPr>
        <w:pStyle w:val="Nagwek1"/>
        <w:rPr>
          <w:rFonts w:ascii="Arial" w:hAnsi="Arial" w:cs="Arial"/>
        </w:rPr>
      </w:pPr>
      <w:r w:rsidRPr="009806F9">
        <w:rPr>
          <w:rFonts w:ascii="Arial" w:hAnsi="Arial" w:cs="Arial"/>
        </w:rPr>
        <w:t>Instrukcja szacowana ryzyka cyberataku</w:t>
      </w:r>
    </w:p>
    <w:p w:rsidR="006F05FC" w:rsidRPr="009806F9" w:rsidRDefault="006F05FC" w:rsidP="009806F9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W formularzu szacowania ryzyka cyberataku skupiono się wyłącznie na scenariuszach aktów bezprawnej ingerencji w lotnictwie cywilnym. Dokonując oceny można poszerzyć listę scenariuszy o inne zagrożenia np. błąd ludzki</w:t>
      </w:r>
      <w:r w:rsidR="00EE5750" w:rsidRPr="009806F9">
        <w:rPr>
          <w:rFonts w:ascii="Arial" w:hAnsi="Arial" w:cs="Arial"/>
          <w:sz w:val="28"/>
          <w:szCs w:val="28"/>
        </w:rPr>
        <w:t xml:space="preserve"> lub czynniki naturalne (pożar, powódź, wichura, itp.)</w:t>
      </w:r>
      <w:r w:rsidRPr="009806F9">
        <w:rPr>
          <w:rFonts w:ascii="Arial" w:hAnsi="Arial" w:cs="Arial"/>
          <w:sz w:val="28"/>
          <w:szCs w:val="28"/>
        </w:rPr>
        <w:t xml:space="preserve">. </w:t>
      </w:r>
    </w:p>
    <w:p w:rsidR="00921A57" w:rsidRPr="009806F9" w:rsidRDefault="00463360" w:rsidP="009806F9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Ocena ryzyka składa się z:</w:t>
      </w:r>
    </w:p>
    <w:p w:rsidR="00463360" w:rsidRPr="009806F9" w:rsidRDefault="00824941" w:rsidP="009806F9">
      <w:pPr>
        <w:pStyle w:val="Akapitzlist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o</w:t>
      </w:r>
      <w:r w:rsidR="00463360" w:rsidRPr="009806F9">
        <w:rPr>
          <w:rFonts w:ascii="Arial" w:hAnsi="Arial" w:cs="Arial"/>
          <w:sz w:val="28"/>
          <w:szCs w:val="28"/>
        </w:rPr>
        <w:t>kreślenia poziomu zagrożenia</w:t>
      </w:r>
      <w:r w:rsidR="00EE5750" w:rsidRPr="009806F9">
        <w:rPr>
          <w:rFonts w:ascii="Arial" w:hAnsi="Arial" w:cs="Arial"/>
          <w:sz w:val="28"/>
          <w:szCs w:val="28"/>
        </w:rPr>
        <w:t>,</w:t>
      </w:r>
    </w:p>
    <w:p w:rsidR="00463360" w:rsidRPr="009806F9" w:rsidRDefault="00824941" w:rsidP="009806F9">
      <w:pPr>
        <w:pStyle w:val="Akapitzlist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o</w:t>
      </w:r>
      <w:r w:rsidR="00463360" w:rsidRPr="009806F9">
        <w:rPr>
          <w:rFonts w:ascii="Arial" w:hAnsi="Arial" w:cs="Arial"/>
          <w:sz w:val="28"/>
          <w:szCs w:val="28"/>
        </w:rPr>
        <w:t>kreślenia poziomu ryzyka</w:t>
      </w:r>
      <w:r w:rsidR="00EE5750" w:rsidRPr="009806F9">
        <w:rPr>
          <w:rFonts w:ascii="Arial" w:hAnsi="Arial" w:cs="Arial"/>
          <w:sz w:val="28"/>
          <w:szCs w:val="28"/>
        </w:rPr>
        <w:t>,</w:t>
      </w:r>
    </w:p>
    <w:p w:rsidR="00657D3E" w:rsidRPr="009806F9" w:rsidRDefault="00657D3E" w:rsidP="009806F9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Szacowanie poziomu prawdopodobieństwa zagrożenia składa się z:</w:t>
      </w:r>
    </w:p>
    <w:p w:rsidR="00657D3E" w:rsidRPr="009806F9" w:rsidRDefault="00824941" w:rsidP="009806F9">
      <w:pPr>
        <w:pStyle w:val="Akapitzlist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o</w:t>
      </w:r>
      <w:r w:rsidR="00657D3E" w:rsidRPr="009806F9">
        <w:rPr>
          <w:rFonts w:ascii="Arial" w:hAnsi="Arial" w:cs="Arial"/>
          <w:sz w:val="28"/>
          <w:szCs w:val="28"/>
        </w:rPr>
        <w:t>kreślenia poziomu prawdopodobieństwa wystąpienia zagrożenia, czyli prawdopodobieństwa przeprowadzenia cyberataku lub podjęcia próby jego przeprowadzenia zgodnie z przyjętym scenariuszem</w:t>
      </w:r>
      <w:r w:rsidR="00EE5750" w:rsidRPr="009806F9">
        <w:rPr>
          <w:rFonts w:ascii="Arial" w:hAnsi="Arial" w:cs="Arial"/>
          <w:sz w:val="28"/>
          <w:szCs w:val="28"/>
        </w:rPr>
        <w:t>,</w:t>
      </w:r>
    </w:p>
    <w:p w:rsidR="00657D3E" w:rsidRPr="009806F9" w:rsidRDefault="00824941" w:rsidP="009806F9">
      <w:pPr>
        <w:pStyle w:val="Akapitzlist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o</w:t>
      </w:r>
      <w:r w:rsidR="00657D3E" w:rsidRPr="009806F9">
        <w:rPr>
          <w:rFonts w:ascii="Arial" w:hAnsi="Arial" w:cs="Arial"/>
          <w:sz w:val="28"/>
          <w:szCs w:val="28"/>
        </w:rPr>
        <w:t>kreślenia poziomu następstw, czyli określenie skutków/ konsekwencji prawdopodobnego cyberataku lub podjęcia jego próby zgodnie z przyjętym scenariuszem. Skala i charakter następstw należy określić w kategoriach ludzkich, ekonomicznych, politycznych oraz związanych z reputacją Przedsiębiorstwa.</w:t>
      </w:r>
    </w:p>
    <w:p w:rsidR="00657D3E" w:rsidRPr="009806F9" w:rsidRDefault="00081C55" w:rsidP="009806F9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 xml:space="preserve">Poziom prawdopodobieństwa wystąpienia zagrożenia, określony według zasad przedstawionych w poniższej </w:t>
      </w:r>
      <w:r w:rsidR="00356888" w:rsidRPr="009806F9">
        <w:rPr>
          <w:rFonts w:ascii="Arial" w:hAnsi="Arial" w:cs="Arial"/>
          <w:sz w:val="28"/>
          <w:szCs w:val="28"/>
        </w:rPr>
        <w:t>tabeli, należy wpisać w kolumnie B.</w:t>
      </w:r>
    </w:p>
    <w:p w:rsidR="00081C55" w:rsidRPr="009806F9" w:rsidRDefault="00081C55" w:rsidP="009806F9">
      <w:pPr>
        <w:ind w:left="360"/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 xml:space="preserve">Tabela nr </w:t>
      </w:r>
      <w:r w:rsidR="007C44F8" w:rsidRPr="009806F9">
        <w:rPr>
          <w:rFonts w:ascii="Arial" w:hAnsi="Arial" w:cs="Arial"/>
          <w:sz w:val="28"/>
          <w:szCs w:val="28"/>
        </w:rPr>
        <w:t>1</w:t>
      </w:r>
      <w:r w:rsidRPr="009806F9">
        <w:rPr>
          <w:rFonts w:ascii="Arial" w:hAnsi="Arial" w:cs="Arial"/>
          <w:sz w:val="28"/>
          <w:szCs w:val="28"/>
        </w:rPr>
        <w:t xml:space="preserve"> - Określanie poziomu prawdopodobieństwa wystąpienia zagrożenia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  <w:tblCaption w:val="Określenie poziomu prawdopodobieństwa wystąpienia zagrożenia"/>
        <w:tblDescription w:val="Tabela składa się z trzech kolumn. W pierwszej kolumne określono poziomy prawdopodobieństwa wystąpienia zagrożenia - niski, średnio-niski, średni, średnio-wysoki oraz wysoki. Dla kadego poziomu prawdopodobieństwa, w kolumnie drugiej, określono punkty oraz, w kolumnie trzeciej, kryteria na podstawie których ustala się prawdopodobieństwo wystąpieia zagrożenia."/>
      </w:tblPr>
      <w:tblGrid>
        <w:gridCol w:w="1762"/>
        <w:gridCol w:w="1701"/>
        <w:gridCol w:w="5239"/>
      </w:tblGrid>
      <w:tr w:rsidR="00D9625D" w:rsidRPr="009806F9" w:rsidTr="00D9625D">
        <w:tc>
          <w:tcPr>
            <w:tcW w:w="1762" w:type="dxa"/>
          </w:tcPr>
          <w:p w:rsidR="00D9625D" w:rsidRPr="009806F9" w:rsidRDefault="00D9625D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Poziom</w:t>
            </w:r>
          </w:p>
        </w:tc>
        <w:tc>
          <w:tcPr>
            <w:tcW w:w="1701" w:type="dxa"/>
          </w:tcPr>
          <w:p w:rsidR="00D9625D" w:rsidRPr="009806F9" w:rsidRDefault="00D9625D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Liczba punktów</w:t>
            </w:r>
          </w:p>
        </w:tc>
        <w:tc>
          <w:tcPr>
            <w:tcW w:w="5239" w:type="dxa"/>
          </w:tcPr>
          <w:p w:rsidR="00D9625D" w:rsidRPr="009806F9" w:rsidRDefault="00D9625D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Kryteria określania poziomu</w:t>
            </w:r>
          </w:p>
        </w:tc>
      </w:tr>
      <w:tr w:rsidR="00D9625D" w:rsidRPr="009806F9" w:rsidTr="00D9625D">
        <w:tc>
          <w:tcPr>
            <w:tcW w:w="1762" w:type="dxa"/>
          </w:tcPr>
          <w:p w:rsidR="00D9625D" w:rsidRPr="009806F9" w:rsidRDefault="00D9625D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Niski</w:t>
            </w:r>
          </w:p>
        </w:tc>
        <w:tc>
          <w:tcPr>
            <w:tcW w:w="1701" w:type="dxa"/>
          </w:tcPr>
          <w:p w:rsidR="00D9625D" w:rsidRPr="009806F9" w:rsidRDefault="00D9625D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239" w:type="dxa"/>
          </w:tcPr>
          <w:p w:rsidR="00D9625D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 xml:space="preserve">Oznacza teoretycznie wiarygodny scenariusz ale bez żadnych przykładów ani oznak </w:t>
            </w:r>
            <w:r w:rsidR="00380FA5" w:rsidRPr="009806F9">
              <w:rPr>
                <w:rFonts w:ascii="Arial" w:hAnsi="Arial" w:cs="Arial"/>
                <w:sz w:val="28"/>
                <w:szCs w:val="28"/>
              </w:rPr>
              <w:t>cyber</w:t>
            </w:r>
            <w:r w:rsidRPr="009806F9">
              <w:rPr>
                <w:rFonts w:ascii="Arial" w:hAnsi="Arial" w:cs="Arial"/>
                <w:sz w:val="28"/>
                <w:szCs w:val="28"/>
              </w:rPr>
              <w:t xml:space="preserve">ataku ani oznak planowania </w:t>
            </w:r>
            <w:r w:rsidR="00380FA5" w:rsidRPr="009806F9">
              <w:rPr>
                <w:rFonts w:ascii="Arial" w:hAnsi="Arial" w:cs="Arial"/>
                <w:sz w:val="28"/>
                <w:szCs w:val="28"/>
              </w:rPr>
              <w:t>cyber</w:t>
            </w:r>
            <w:r w:rsidRPr="009806F9">
              <w:rPr>
                <w:rFonts w:ascii="Arial" w:hAnsi="Arial" w:cs="Arial"/>
                <w:sz w:val="28"/>
                <w:szCs w:val="28"/>
              </w:rPr>
              <w:t>ataku i teoretyczny zamiar ale bez widocznej zdolności</w:t>
            </w:r>
          </w:p>
        </w:tc>
      </w:tr>
      <w:tr w:rsidR="00D9625D" w:rsidRPr="009806F9" w:rsidTr="00D9625D">
        <w:tc>
          <w:tcPr>
            <w:tcW w:w="1762" w:type="dxa"/>
          </w:tcPr>
          <w:p w:rsidR="00D9625D" w:rsidRPr="009806F9" w:rsidRDefault="00D9625D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Średnio – Niski</w:t>
            </w:r>
          </w:p>
        </w:tc>
        <w:tc>
          <w:tcPr>
            <w:tcW w:w="1701" w:type="dxa"/>
          </w:tcPr>
          <w:p w:rsidR="00D9625D" w:rsidRPr="009806F9" w:rsidRDefault="00D9625D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239" w:type="dxa"/>
          </w:tcPr>
          <w:p w:rsidR="00D9625D" w:rsidRPr="009806F9" w:rsidRDefault="00EE5750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O</w:t>
            </w:r>
            <w:r w:rsidR="007C44F8" w:rsidRPr="009806F9">
              <w:rPr>
                <w:rFonts w:ascii="Arial" w:hAnsi="Arial" w:cs="Arial"/>
                <w:sz w:val="28"/>
                <w:szCs w:val="28"/>
              </w:rPr>
              <w:t>znacza jakiś scenariusz</w:t>
            </w:r>
            <w:r w:rsidR="00380FA5" w:rsidRPr="009806F9">
              <w:rPr>
                <w:rFonts w:ascii="Arial" w:hAnsi="Arial" w:cs="Arial"/>
                <w:sz w:val="28"/>
                <w:szCs w:val="28"/>
              </w:rPr>
              <w:t>,</w:t>
            </w:r>
            <w:r w:rsidR="007C44F8" w:rsidRPr="009806F9">
              <w:rPr>
                <w:rFonts w:ascii="Arial" w:hAnsi="Arial" w:cs="Arial"/>
                <w:sz w:val="28"/>
                <w:szCs w:val="28"/>
              </w:rPr>
              <w:t xml:space="preserve"> dla którego nie ma wcale lub nie ma ostatnio przykładów, ale</w:t>
            </w:r>
            <w:r w:rsidR="00380FA5" w:rsidRPr="009806F9">
              <w:rPr>
                <w:rFonts w:ascii="Arial" w:hAnsi="Arial" w:cs="Arial"/>
                <w:sz w:val="28"/>
                <w:szCs w:val="28"/>
              </w:rPr>
              <w:t xml:space="preserve"> istnieją</w:t>
            </w:r>
            <w:r w:rsidR="007C44F8" w:rsidRPr="009806F9">
              <w:rPr>
                <w:rFonts w:ascii="Arial" w:hAnsi="Arial" w:cs="Arial"/>
                <w:sz w:val="28"/>
                <w:szCs w:val="28"/>
              </w:rPr>
              <w:t xml:space="preserve"> jakieś dowody na zamiar, jednak metoda najwyraźniej nie jest wystarczająco opracowana aby przeprowadzić udany scenariusz ataku lub prawdopodobnie została zastąpiona przez inne formy ataku</w:t>
            </w:r>
          </w:p>
        </w:tc>
      </w:tr>
      <w:tr w:rsidR="00D9625D" w:rsidRPr="009806F9" w:rsidTr="00D9625D">
        <w:tc>
          <w:tcPr>
            <w:tcW w:w="1762" w:type="dxa"/>
          </w:tcPr>
          <w:p w:rsidR="00D9625D" w:rsidRPr="009806F9" w:rsidRDefault="00D9625D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Średni</w:t>
            </w:r>
          </w:p>
        </w:tc>
        <w:tc>
          <w:tcPr>
            <w:tcW w:w="1701" w:type="dxa"/>
          </w:tcPr>
          <w:p w:rsidR="00D9625D" w:rsidRPr="009806F9" w:rsidRDefault="00D9625D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239" w:type="dxa"/>
          </w:tcPr>
          <w:p w:rsidR="00D9625D" w:rsidRPr="009806F9" w:rsidRDefault="00EE5750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O</w:t>
            </w:r>
            <w:r w:rsidR="007C44F8" w:rsidRPr="009806F9">
              <w:rPr>
                <w:rFonts w:ascii="Arial" w:hAnsi="Arial" w:cs="Arial"/>
                <w:sz w:val="28"/>
                <w:szCs w:val="28"/>
              </w:rPr>
              <w:t xml:space="preserve">znacza zasadniczo wiarygodny scenariusz z dowodem na zamiar i zdolność oraz możliwie jakieś przykłady, ale żadnych dowodów na bieżące planowanie </w:t>
            </w:r>
            <w:r w:rsidR="00380FA5" w:rsidRPr="009806F9">
              <w:rPr>
                <w:rFonts w:ascii="Arial" w:hAnsi="Arial" w:cs="Arial"/>
                <w:sz w:val="28"/>
                <w:szCs w:val="28"/>
              </w:rPr>
              <w:t>cyber</w:t>
            </w:r>
            <w:r w:rsidR="007C44F8" w:rsidRPr="009806F9">
              <w:rPr>
                <w:rFonts w:ascii="Arial" w:hAnsi="Arial" w:cs="Arial"/>
                <w:sz w:val="28"/>
                <w:szCs w:val="28"/>
              </w:rPr>
              <w:t>ataku</w:t>
            </w:r>
          </w:p>
        </w:tc>
      </w:tr>
      <w:tr w:rsidR="00D9625D" w:rsidRPr="009806F9" w:rsidTr="00D9625D">
        <w:tc>
          <w:tcPr>
            <w:tcW w:w="1762" w:type="dxa"/>
          </w:tcPr>
          <w:p w:rsidR="00D9625D" w:rsidRPr="009806F9" w:rsidRDefault="00D9625D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Średnio – Wysoki</w:t>
            </w:r>
          </w:p>
        </w:tc>
        <w:tc>
          <w:tcPr>
            <w:tcW w:w="1701" w:type="dxa"/>
          </w:tcPr>
          <w:p w:rsidR="00D9625D" w:rsidRPr="009806F9" w:rsidRDefault="00D9625D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239" w:type="dxa"/>
          </w:tcPr>
          <w:p w:rsidR="00D9625D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 xml:space="preserve">Oznacza wyraźnie wiarygodny scenariusz ze stosunkowo niedawnymi przykładami lub dowodami na planowanie </w:t>
            </w:r>
            <w:r w:rsidR="00380FA5" w:rsidRPr="009806F9">
              <w:rPr>
                <w:rFonts w:ascii="Arial" w:hAnsi="Arial" w:cs="Arial"/>
                <w:sz w:val="28"/>
                <w:szCs w:val="28"/>
              </w:rPr>
              <w:t>cyber</w:t>
            </w:r>
            <w:r w:rsidRPr="009806F9">
              <w:rPr>
                <w:rFonts w:ascii="Arial" w:hAnsi="Arial" w:cs="Arial"/>
                <w:sz w:val="28"/>
                <w:szCs w:val="28"/>
              </w:rPr>
              <w:t>ataku lub przeprowadzenie rozpoznania</w:t>
            </w:r>
          </w:p>
        </w:tc>
      </w:tr>
      <w:tr w:rsidR="00D9625D" w:rsidRPr="009806F9" w:rsidTr="00D9625D">
        <w:tc>
          <w:tcPr>
            <w:tcW w:w="1762" w:type="dxa"/>
          </w:tcPr>
          <w:p w:rsidR="00D9625D" w:rsidRPr="009806F9" w:rsidRDefault="00D9625D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Wysoki</w:t>
            </w:r>
          </w:p>
        </w:tc>
        <w:tc>
          <w:tcPr>
            <w:tcW w:w="1701" w:type="dxa"/>
          </w:tcPr>
          <w:p w:rsidR="00D9625D" w:rsidRPr="009806F9" w:rsidRDefault="00D9625D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239" w:type="dxa"/>
          </w:tcPr>
          <w:p w:rsidR="00D9625D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 xml:space="preserve">Oznacza bardzo wiarygodny scenariusz na podstawie przeprowadzonego rzeczywistego ataku w ciągu kilku ostatnich lat lub mocny dowód na zdolność, zamiar i planowanie </w:t>
            </w:r>
            <w:r w:rsidR="00380FA5" w:rsidRPr="009806F9">
              <w:rPr>
                <w:rFonts w:ascii="Arial" w:hAnsi="Arial" w:cs="Arial"/>
                <w:sz w:val="28"/>
                <w:szCs w:val="28"/>
              </w:rPr>
              <w:t>cyber</w:t>
            </w:r>
            <w:r w:rsidRPr="009806F9">
              <w:rPr>
                <w:rFonts w:ascii="Arial" w:hAnsi="Arial" w:cs="Arial"/>
                <w:sz w:val="28"/>
                <w:szCs w:val="28"/>
              </w:rPr>
              <w:t>ataku</w:t>
            </w:r>
          </w:p>
        </w:tc>
      </w:tr>
    </w:tbl>
    <w:p w:rsidR="00D9625D" w:rsidRPr="009806F9" w:rsidRDefault="00D9625D" w:rsidP="009806F9">
      <w:pPr>
        <w:ind w:left="360"/>
        <w:rPr>
          <w:rFonts w:ascii="Arial" w:hAnsi="Arial" w:cs="Arial"/>
          <w:sz w:val="28"/>
          <w:szCs w:val="28"/>
        </w:rPr>
      </w:pPr>
    </w:p>
    <w:p w:rsidR="00081C55" w:rsidRPr="009806F9" w:rsidRDefault="00081C55" w:rsidP="009806F9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Poziom następstw</w:t>
      </w:r>
      <w:r w:rsidR="00356888" w:rsidRPr="009806F9">
        <w:rPr>
          <w:rFonts w:ascii="Arial" w:hAnsi="Arial" w:cs="Arial"/>
          <w:sz w:val="28"/>
          <w:szCs w:val="28"/>
        </w:rPr>
        <w:t>a</w:t>
      </w:r>
      <w:r w:rsidRPr="009806F9">
        <w:rPr>
          <w:rFonts w:ascii="Arial" w:hAnsi="Arial" w:cs="Arial"/>
          <w:sz w:val="28"/>
          <w:szCs w:val="28"/>
        </w:rPr>
        <w:t>, określony według zasad przedstawionych w poniższej tabeli</w:t>
      </w:r>
      <w:r w:rsidR="00356888" w:rsidRPr="009806F9">
        <w:rPr>
          <w:rFonts w:ascii="Arial" w:hAnsi="Arial" w:cs="Arial"/>
          <w:sz w:val="28"/>
          <w:szCs w:val="28"/>
        </w:rPr>
        <w:t>, należy wpisać w kolumnie C</w:t>
      </w:r>
      <w:r w:rsidR="00D9625D" w:rsidRPr="009806F9">
        <w:rPr>
          <w:rFonts w:ascii="Arial" w:hAnsi="Arial" w:cs="Arial"/>
          <w:sz w:val="28"/>
          <w:szCs w:val="28"/>
        </w:rPr>
        <w:t>.</w:t>
      </w:r>
    </w:p>
    <w:p w:rsidR="00081C55" w:rsidRPr="009806F9" w:rsidRDefault="00081C55" w:rsidP="009806F9">
      <w:pPr>
        <w:ind w:left="360"/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Tabela nr</w:t>
      </w:r>
      <w:r w:rsidR="007C44F8" w:rsidRPr="009806F9">
        <w:rPr>
          <w:rFonts w:ascii="Arial" w:hAnsi="Arial" w:cs="Arial"/>
          <w:sz w:val="28"/>
          <w:szCs w:val="28"/>
        </w:rPr>
        <w:t xml:space="preserve"> 2 –</w:t>
      </w:r>
      <w:r w:rsidRPr="009806F9">
        <w:rPr>
          <w:rFonts w:ascii="Arial" w:hAnsi="Arial" w:cs="Arial"/>
          <w:sz w:val="28"/>
          <w:szCs w:val="28"/>
        </w:rPr>
        <w:t xml:space="preserve"> Określanie</w:t>
      </w:r>
      <w:r w:rsidR="007C44F8" w:rsidRPr="009806F9">
        <w:rPr>
          <w:rFonts w:ascii="Arial" w:hAnsi="Arial" w:cs="Arial"/>
          <w:sz w:val="28"/>
          <w:szCs w:val="28"/>
        </w:rPr>
        <w:t xml:space="preserve"> </w:t>
      </w:r>
      <w:r w:rsidRPr="009806F9">
        <w:rPr>
          <w:rFonts w:ascii="Arial" w:hAnsi="Arial" w:cs="Arial"/>
          <w:sz w:val="28"/>
          <w:szCs w:val="28"/>
        </w:rPr>
        <w:t>poziomu następstw</w:t>
      </w:r>
      <w:r w:rsidR="00356888" w:rsidRPr="009806F9">
        <w:rPr>
          <w:rFonts w:ascii="Arial" w:hAnsi="Arial" w:cs="Arial"/>
          <w:sz w:val="28"/>
          <w:szCs w:val="28"/>
        </w:rPr>
        <w:t>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  <w:tblCaption w:val="Określenie poziomu następstwa"/>
        <w:tblDescription w:val="Tabela składa się z trzech kolumn. W pierwszej kolumne określono poziomy następstw - niski, średnio-niski, średni, średnio-wysoki oraz wysoki. Dla kadego poziomu następstwa, w kolumnie drugiej, określono punkty. Dla poziomu niskiego jeden punkt. Dla poziomu średnio-niski dwa punkty. Dla poziomu średni trzy punkty. Dla poziomu średnio-wysoki cztery punkty. Dla poziomu wysoki pięć punktów. W kolumnie trzeciej, kryteria na podstawie których ustala się poziom następstw."/>
      </w:tblPr>
      <w:tblGrid>
        <w:gridCol w:w="1762"/>
        <w:gridCol w:w="1701"/>
        <w:gridCol w:w="5239"/>
      </w:tblGrid>
      <w:tr w:rsidR="00D9625D" w:rsidRPr="009806F9" w:rsidTr="007A5879">
        <w:tc>
          <w:tcPr>
            <w:tcW w:w="1762" w:type="dxa"/>
          </w:tcPr>
          <w:p w:rsidR="00D9625D" w:rsidRPr="009806F9" w:rsidRDefault="00D9625D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Poziom</w:t>
            </w:r>
          </w:p>
        </w:tc>
        <w:tc>
          <w:tcPr>
            <w:tcW w:w="1701" w:type="dxa"/>
          </w:tcPr>
          <w:p w:rsidR="00D9625D" w:rsidRPr="009806F9" w:rsidRDefault="00D9625D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Liczba punktów</w:t>
            </w:r>
          </w:p>
        </w:tc>
        <w:tc>
          <w:tcPr>
            <w:tcW w:w="5239" w:type="dxa"/>
          </w:tcPr>
          <w:p w:rsidR="00D9625D" w:rsidRPr="009806F9" w:rsidRDefault="00D9625D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Kryteria określania poziomu</w:t>
            </w:r>
          </w:p>
        </w:tc>
      </w:tr>
      <w:tr w:rsidR="007C44F8" w:rsidRPr="009806F9" w:rsidTr="007A5879">
        <w:tc>
          <w:tcPr>
            <w:tcW w:w="1762" w:type="dxa"/>
            <w:vMerge w:val="restart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Niski</w:t>
            </w:r>
          </w:p>
        </w:tc>
        <w:tc>
          <w:tcPr>
            <w:tcW w:w="1701" w:type="dxa"/>
            <w:vMerge w:val="restart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239" w:type="dxa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Kategorie ludzkie: Możliwi zabici i ranni lub poszkodowani w inny sposób</w:t>
            </w:r>
          </w:p>
        </w:tc>
      </w:tr>
      <w:tr w:rsidR="007C44F8" w:rsidRPr="009806F9" w:rsidTr="007A5879">
        <w:tc>
          <w:tcPr>
            <w:tcW w:w="1762" w:type="dxa"/>
            <w:vMerge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39" w:type="dxa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 xml:space="preserve">Kategorie ekonomiczne: </w:t>
            </w:r>
            <w:r w:rsidR="00987517" w:rsidRPr="009806F9">
              <w:rPr>
                <w:rFonts w:ascii="Arial" w:hAnsi="Arial" w:cs="Arial"/>
                <w:sz w:val="28"/>
                <w:szCs w:val="28"/>
              </w:rPr>
              <w:t>Starty finansowe lub potencjalne straty finansowe nie wpływają na płynność finansową Przedsiębiorstwa</w:t>
            </w:r>
          </w:p>
        </w:tc>
      </w:tr>
      <w:tr w:rsidR="007C44F8" w:rsidRPr="009806F9" w:rsidTr="007A5879">
        <w:tc>
          <w:tcPr>
            <w:tcW w:w="1762" w:type="dxa"/>
            <w:vMerge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39" w:type="dxa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Pozostałe kategorie: Pewne zakłócenia w usługach i zaufaniu do systemu lotniczego</w:t>
            </w:r>
          </w:p>
        </w:tc>
      </w:tr>
      <w:tr w:rsidR="007C44F8" w:rsidRPr="009806F9" w:rsidTr="007A5879">
        <w:tc>
          <w:tcPr>
            <w:tcW w:w="1762" w:type="dxa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Średnio – Niski</w:t>
            </w:r>
          </w:p>
        </w:tc>
        <w:tc>
          <w:tcPr>
            <w:tcW w:w="1701" w:type="dxa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239" w:type="dxa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Jakieś ale nie wszystkie z następstw ocenionych na poziomie &lt;średni&gt;</w:t>
            </w:r>
          </w:p>
        </w:tc>
      </w:tr>
      <w:tr w:rsidR="007C44F8" w:rsidRPr="009806F9" w:rsidTr="007A5879">
        <w:tc>
          <w:tcPr>
            <w:tcW w:w="1762" w:type="dxa"/>
            <w:vMerge w:val="restart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Średni</w:t>
            </w:r>
          </w:p>
        </w:tc>
        <w:tc>
          <w:tcPr>
            <w:tcW w:w="1701" w:type="dxa"/>
            <w:vMerge w:val="restart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239" w:type="dxa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Kategorie ludzkie: Dziesiątki zabitych lub poszkodowanych</w:t>
            </w:r>
          </w:p>
        </w:tc>
        <w:bookmarkStart w:id="0" w:name="_GoBack"/>
        <w:bookmarkEnd w:id="0"/>
      </w:tr>
      <w:tr w:rsidR="007C44F8" w:rsidRPr="009806F9" w:rsidTr="007A5879">
        <w:tc>
          <w:tcPr>
            <w:tcW w:w="1762" w:type="dxa"/>
            <w:vMerge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39" w:type="dxa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 xml:space="preserve">Kategorie ekonomiczne: </w:t>
            </w:r>
            <w:r w:rsidR="00987517" w:rsidRPr="009806F9">
              <w:rPr>
                <w:rFonts w:ascii="Arial" w:hAnsi="Arial" w:cs="Arial"/>
                <w:sz w:val="28"/>
                <w:szCs w:val="28"/>
              </w:rPr>
              <w:t>Straty finansowe lub potencjalne straty finansowe wpływają na płynność finansową Przedsiębiorstwa, ale nie zagrażają jego istnieniu</w:t>
            </w:r>
          </w:p>
        </w:tc>
      </w:tr>
      <w:tr w:rsidR="007C44F8" w:rsidRPr="009806F9" w:rsidTr="007A5879">
        <w:tc>
          <w:tcPr>
            <w:tcW w:w="1762" w:type="dxa"/>
            <w:vMerge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39" w:type="dxa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Pozostałe kategorie: Znaczące zakłócenia w usługach i zaufania do systemu lotniczego</w:t>
            </w:r>
          </w:p>
        </w:tc>
      </w:tr>
      <w:tr w:rsidR="007C44F8" w:rsidRPr="009806F9" w:rsidTr="007A5879">
        <w:tc>
          <w:tcPr>
            <w:tcW w:w="1762" w:type="dxa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Średnio – Wysoki</w:t>
            </w:r>
          </w:p>
        </w:tc>
        <w:tc>
          <w:tcPr>
            <w:tcW w:w="1701" w:type="dxa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239" w:type="dxa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Część ale nie wszystkie z następstw ocenionych na poziomie &lt;Bardzo wysoki&gt;</w:t>
            </w:r>
          </w:p>
        </w:tc>
      </w:tr>
      <w:tr w:rsidR="007C44F8" w:rsidRPr="009806F9" w:rsidTr="007A5879">
        <w:tc>
          <w:tcPr>
            <w:tcW w:w="1762" w:type="dxa"/>
            <w:vMerge w:val="restart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Wysoki</w:t>
            </w:r>
          </w:p>
        </w:tc>
        <w:tc>
          <w:tcPr>
            <w:tcW w:w="1701" w:type="dxa"/>
            <w:vMerge w:val="restart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239" w:type="dxa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Kategorie ludzkie: setki zabitych lub poszkodowanych</w:t>
            </w:r>
          </w:p>
        </w:tc>
      </w:tr>
      <w:tr w:rsidR="007C44F8" w:rsidRPr="009806F9" w:rsidTr="007A5879">
        <w:tc>
          <w:tcPr>
            <w:tcW w:w="1762" w:type="dxa"/>
            <w:vMerge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39" w:type="dxa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Kategor</w:t>
            </w:r>
            <w:r w:rsidR="00987517" w:rsidRPr="009806F9">
              <w:rPr>
                <w:rFonts w:ascii="Arial" w:hAnsi="Arial" w:cs="Arial"/>
                <w:sz w:val="28"/>
                <w:szCs w:val="28"/>
              </w:rPr>
              <w:t>ie ekonomiczne: Straty lub potencjalne straty finansowe zagrażają istnieniu Przedsiębiorstwa</w:t>
            </w:r>
          </w:p>
        </w:tc>
      </w:tr>
      <w:tr w:rsidR="007C44F8" w:rsidRPr="009806F9" w:rsidTr="007A5879">
        <w:tc>
          <w:tcPr>
            <w:tcW w:w="1762" w:type="dxa"/>
            <w:vMerge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39" w:type="dxa"/>
          </w:tcPr>
          <w:p w:rsidR="007C44F8" w:rsidRPr="009806F9" w:rsidRDefault="007C44F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Pozostałe kategorie: Poważne zakłócenia w usługach i zaufania do systemu lotniczego</w:t>
            </w:r>
          </w:p>
        </w:tc>
      </w:tr>
    </w:tbl>
    <w:p w:rsidR="00D9625D" w:rsidRPr="009806F9" w:rsidRDefault="00D9625D" w:rsidP="009806F9">
      <w:pPr>
        <w:ind w:left="360"/>
        <w:rPr>
          <w:rFonts w:ascii="Arial" w:hAnsi="Arial" w:cs="Arial"/>
          <w:sz w:val="28"/>
          <w:szCs w:val="28"/>
        </w:rPr>
      </w:pPr>
    </w:p>
    <w:p w:rsidR="00081C55" w:rsidRPr="009806F9" w:rsidRDefault="001735D7" w:rsidP="009806F9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Zagrożenie</w:t>
      </w:r>
      <w:r w:rsidR="00081C55" w:rsidRPr="009806F9">
        <w:rPr>
          <w:rFonts w:ascii="Arial" w:hAnsi="Arial" w:cs="Arial"/>
          <w:sz w:val="28"/>
          <w:szCs w:val="28"/>
        </w:rPr>
        <w:t xml:space="preserve"> </w:t>
      </w:r>
      <w:r w:rsidR="00A72EE8" w:rsidRPr="009806F9">
        <w:rPr>
          <w:rFonts w:ascii="Arial" w:hAnsi="Arial" w:cs="Arial"/>
          <w:sz w:val="28"/>
          <w:szCs w:val="28"/>
        </w:rPr>
        <w:t>jest obliczane</w:t>
      </w:r>
      <w:r w:rsidR="00442357" w:rsidRPr="009806F9">
        <w:rPr>
          <w:rFonts w:ascii="Arial" w:hAnsi="Arial" w:cs="Arial"/>
          <w:sz w:val="28"/>
          <w:szCs w:val="28"/>
        </w:rPr>
        <w:t xml:space="preserve"> i wpisywane w kolumnie E</w:t>
      </w:r>
      <w:r w:rsidR="00081C55" w:rsidRPr="009806F9">
        <w:rPr>
          <w:rFonts w:ascii="Arial" w:hAnsi="Arial" w:cs="Arial"/>
          <w:sz w:val="28"/>
          <w:szCs w:val="28"/>
        </w:rPr>
        <w:t xml:space="preserve"> według poniższego wzoru.</w:t>
      </w:r>
    </w:p>
    <w:p w:rsidR="00081C55" w:rsidRPr="009806F9" w:rsidRDefault="00081C55" w:rsidP="009806F9">
      <w:pPr>
        <w:ind w:left="360"/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 xml:space="preserve">Wzór nr </w:t>
      </w:r>
      <w:r w:rsidR="00463360" w:rsidRPr="009806F9">
        <w:rPr>
          <w:rFonts w:ascii="Arial" w:hAnsi="Arial" w:cs="Arial"/>
          <w:sz w:val="28"/>
          <w:szCs w:val="28"/>
        </w:rPr>
        <w:t>1</w:t>
      </w:r>
      <w:r w:rsidRPr="009806F9">
        <w:rPr>
          <w:rFonts w:ascii="Arial" w:hAnsi="Arial" w:cs="Arial"/>
          <w:sz w:val="28"/>
          <w:szCs w:val="28"/>
        </w:rPr>
        <w:t xml:space="preserve"> - Obliczanie zagrożenia</w:t>
      </w:r>
    </w:p>
    <w:p w:rsidR="00D9625D" w:rsidRPr="009806F9" w:rsidRDefault="00824941" w:rsidP="009806F9">
      <w:pPr>
        <w:ind w:left="360"/>
        <w:rPr>
          <w:rFonts w:ascii="Arial" w:hAnsi="Arial" w:cs="Arial"/>
          <w:b/>
          <w:sz w:val="28"/>
          <w:szCs w:val="28"/>
        </w:rPr>
      </w:pPr>
      <w:r w:rsidRPr="009806F9">
        <w:rPr>
          <w:rFonts w:ascii="Arial" w:hAnsi="Arial" w:cs="Arial"/>
          <w:b/>
          <w:sz w:val="28"/>
          <w:szCs w:val="28"/>
        </w:rPr>
        <w:t xml:space="preserve">Zagr. = Poz. P. </w:t>
      </w:r>
      <w:r w:rsidR="00D9625D" w:rsidRPr="009806F9">
        <w:rPr>
          <w:rFonts w:ascii="Arial" w:hAnsi="Arial" w:cs="Arial"/>
          <w:b/>
          <w:sz w:val="28"/>
          <w:szCs w:val="28"/>
        </w:rPr>
        <w:t xml:space="preserve"> * Poz. Następ.</w:t>
      </w:r>
    </w:p>
    <w:p w:rsidR="00D9625D" w:rsidRPr="009806F9" w:rsidRDefault="00D9625D" w:rsidP="009806F9">
      <w:pPr>
        <w:pStyle w:val="Bezodstpw"/>
        <w:ind w:left="708"/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Legenda:</w:t>
      </w:r>
    </w:p>
    <w:p w:rsidR="00D9625D" w:rsidRPr="009806F9" w:rsidRDefault="00D9625D" w:rsidP="009806F9">
      <w:pPr>
        <w:pStyle w:val="Bezodstpw"/>
        <w:ind w:left="708"/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Zagr. –Zagrożeni</w:t>
      </w:r>
      <w:r w:rsidR="001735D7" w:rsidRPr="009806F9">
        <w:rPr>
          <w:rFonts w:ascii="Arial" w:hAnsi="Arial" w:cs="Arial"/>
          <w:sz w:val="28"/>
          <w:szCs w:val="28"/>
        </w:rPr>
        <w:t>e</w:t>
      </w:r>
    </w:p>
    <w:p w:rsidR="00D9625D" w:rsidRPr="009806F9" w:rsidRDefault="00824941" w:rsidP="009806F9">
      <w:pPr>
        <w:pStyle w:val="Bezodstpw"/>
        <w:ind w:left="708"/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Poz. P.</w:t>
      </w:r>
      <w:r w:rsidR="00D9625D" w:rsidRPr="009806F9">
        <w:rPr>
          <w:rFonts w:ascii="Arial" w:hAnsi="Arial" w:cs="Arial"/>
          <w:sz w:val="28"/>
          <w:szCs w:val="28"/>
        </w:rPr>
        <w:t xml:space="preserve"> – Poziom Prawdopodob</w:t>
      </w:r>
      <w:r w:rsidRPr="009806F9">
        <w:rPr>
          <w:rFonts w:ascii="Arial" w:hAnsi="Arial" w:cs="Arial"/>
          <w:sz w:val="28"/>
          <w:szCs w:val="28"/>
        </w:rPr>
        <w:t>ieństwa</w:t>
      </w:r>
    </w:p>
    <w:p w:rsidR="00D9625D" w:rsidRPr="009806F9" w:rsidRDefault="00D9625D" w:rsidP="009806F9">
      <w:pPr>
        <w:pStyle w:val="Bezodstpw"/>
        <w:ind w:left="708"/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Poz. Następ. – Poziom Następstw</w:t>
      </w:r>
      <w:r w:rsidR="00356888" w:rsidRPr="009806F9">
        <w:rPr>
          <w:rFonts w:ascii="Arial" w:hAnsi="Arial" w:cs="Arial"/>
          <w:sz w:val="28"/>
          <w:szCs w:val="28"/>
        </w:rPr>
        <w:t>a</w:t>
      </w:r>
    </w:p>
    <w:p w:rsidR="00442357" w:rsidRPr="009806F9" w:rsidRDefault="00442357" w:rsidP="009806F9">
      <w:pPr>
        <w:rPr>
          <w:rFonts w:ascii="Arial" w:hAnsi="Arial" w:cs="Arial"/>
          <w:sz w:val="28"/>
          <w:szCs w:val="28"/>
        </w:rPr>
      </w:pPr>
    </w:p>
    <w:p w:rsidR="00081C55" w:rsidRPr="009806F9" w:rsidRDefault="00442357" w:rsidP="009806F9">
      <w:pPr>
        <w:ind w:left="360"/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 xml:space="preserve">Tabela nr 3 – Określanie poziomu zagrożenia </w:t>
      </w: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  <w:tblCaption w:val="Określenie poziomu zagrożenia"/>
        <w:tblDescription w:val="Tabela składa się z trzech kolumn. W pierwszej kolumne określono poziomy zagrożenia - niski, średnio-niski, średni, średnio-wysoki oraz wysoki. Poziom zagrożenia niski mieści się w przedziale od jednego do dwóch punktów. Poziom zagrożenia średnio-niski mieści się w przedziale od trzech do czterech punktów. Poziom zagrożenia średni mieści się w przedziale od pięciu do dziewięciu punktów. Poziom zagrożenia średnio-wysoki mieści się w przedziale od dziesięciu do piętnastu punktów. Poziom zagrożenia wysoki mieści się w przedziale od szesnastu do dwudziestu pięciu punktów. W kolumnie drugiej zostały wymienione poziomy zagrożeń. W kolumnie trzeciej znajdują się wartości liczbowe, które należy wpisać w kolumnie E. Dla poziomu zagrożenia niski wartość liczbowa jeden. Dla poziomu średnio-niski wartość liczbowa dwa. Dla poziomu zagrożenia średni wartość liczbowa trzy. Dla poziomu średnio-wysoki wartość liczbowa cztery. Dla poziomu zagrożenia wysoki wartość liczbowa pięć."/>
      </w:tblPr>
      <w:tblGrid>
        <w:gridCol w:w="4455"/>
        <w:gridCol w:w="2410"/>
        <w:gridCol w:w="1842"/>
      </w:tblGrid>
      <w:tr w:rsidR="00760A19" w:rsidRPr="009806F9" w:rsidTr="008F3DB4">
        <w:tc>
          <w:tcPr>
            <w:tcW w:w="4455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Wynik</w:t>
            </w:r>
          </w:p>
        </w:tc>
        <w:tc>
          <w:tcPr>
            <w:tcW w:w="2410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Poziom zagrożenia</w:t>
            </w:r>
          </w:p>
        </w:tc>
        <w:tc>
          <w:tcPr>
            <w:tcW w:w="1842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Wartość liczbowa w kolumnie E</w:t>
            </w:r>
          </w:p>
        </w:tc>
      </w:tr>
      <w:tr w:rsidR="00760A19" w:rsidRPr="009806F9" w:rsidTr="008F3DB4">
        <w:tc>
          <w:tcPr>
            <w:tcW w:w="4455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Wynik mieści się w przedziale 1 – 2 punktów</w:t>
            </w:r>
          </w:p>
        </w:tc>
        <w:tc>
          <w:tcPr>
            <w:tcW w:w="2410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Niski</w:t>
            </w:r>
          </w:p>
        </w:tc>
        <w:tc>
          <w:tcPr>
            <w:tcW w:w="1842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60A19" w:rsidRPr="009806F9" w:rsidTr="008F3DB4">
        <w:tc>
          <w:tcPr>
            <w:tcW w:w="4455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Wynik mieści się w przedziale 3 – 4 punktów</w:t>
            </w:r>
          </w:p>
        </w:tc>
        <w:tc>
          <w:tcPr>
            <w:tcW w:w="2410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Średnio – Niski</w:t>
            </w:r>
          </w:p>
        </w:tc>
        <w:tc>
          <w:tcPr>
            <w:tcW w:w="1842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760A19" w:rsidRPr="009806F9" w:rsidTr="008F3DB4">
        <w:tc>
          <w:tcPr>
            <w:tcW w:w="4455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Wynik mieści się w przedziale 5 – 9 punktów</w:t>
            </w:r>
          </w:p>
        </w:tc>
        <w:tc>
          <w:tcPr>
            <w:tcW w:w="2410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Średni</w:t>
            </w:r>
          </w:p>
        </w:tc>
        <w:tc>
          <w:tcPr>
            <w:tcW w:w="1842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760A19" w:rsidRPr="009806F9" w:rsidTr="008F3DB4">
        <w:tc>
          <w:tcPr>
            <w:tcW w:w="4455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Wynik mieści się w przedziale 10 -15 punktów</w:t>
            </w:r>
          </w:p>
        </w:tc>
        <w:tc>
          <w:tcPr>
            <w:tcW w:w="2410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Średnio – Wysoki</w:t>
            </w:r>
          </w:p>
        </w:tc>
        <w:tc>
          <w:tcPr>
            <w:tcW w:w="1842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760A19" w:rsidRPr="009806F9" w:rsidTr="008F3DB4">
        <w:tc>
          <w:tcPr>
            <w:tcW w:w="4455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Wynik mieści się w przedziale 16 – 25 punktów</w:t>
            </w:r>
          </w:p>
        </w:tc>
        <w:tc>
          <w:tcPr>
            <w:tcW w:w="2410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Wysoki</w:t>
            </w:r>
          </w:p>
        </w:tc>
        <w:tc>
          <w:tcPr>
            <w:tcW w:w="1842" w:type="dxa"/>
          </w:tcPr>
          <w:p w:rsidR="00760A19" w:rsidRPr="009806F9" w:rsidRDefault="00760A19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</w:tbl>
    <w:p w:rsidR="00D9625D" w:rsidRPr="009806F9" w:rsidRDefault="00D9625D" w:rsidP="009806F9">
      <w:pPr>
        <w:ind w:left="360"/>
        <w:rPr>
          <w:rFonts w:ascii="Arial" w:hAnsi="Arial" w:cs="Arial"/>
          <w:sz w:val="28"/>
          <w:szCs w:val="28"/>
        </w:rPr>
      </w:pPr>
    </w:p>
    <w:p w:rsidR="00F06E62" w:rsidRPr="009806F9" w:rsidRDefault="00F06E62" w:rsidP="009806F9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Poziom podatności</w:t>
      </w:r>
      <w:r w:rsidR="009212A7" w:rsidRPr="009806F9">
        <w:rPr>
          <w:rFonts w:ascii="Arial" w:hAnsi="Arial" w:cs="Arial"/>
          <w:sz w:val="28"/>
          <w:szCs w:val="28"/>
        </w:rPr>
        <w:t xml:space="preserve"> oznacza określenie poziomu możliwości wystąpienia zagrożenia.</w:t>
      </w:r>
      <w:r w:rsidR="00442357" w:rsidRPr="009806F9">
        <w:rPr>
          <w:rFonts w:ascii="Arial" w:hAnsi="Arial" w:cs="Arial"/>
          <w:sz w:val="28"/>
          <w:szCs w:val="28"/>
        </w:rPr>
        <w:t xml:space="preserve"> </w:t>
      </w:r>
      <w:r w:rsidRPr="009806F9">
        <w:rPr>
          <w:rFonts w:ascii="Arial" w:hAnsi="Arial" w:cs="Arial"/>
          <w:sz w:val="28"/>
          <w:szCs w:val="28"/>
        </w:rPr>
        <w:t>Poziom podatności, określony według zasad określonych w poniższe</w:t>
      </w:r>
      <w:r w:rsidR="00356888" w:rsidRPr="009806F9">
        <w:rPr>
          <w:rFonts w:ascii="Arial" w:hAnsi="Arial" w:cs="Arial"/>
          <w:sz w:val="28"/>
          <w:szCs w:val="28"/>
        </w:rPr>
        <w:t>j tabeli, wpisuje się w kolumnie G</w:t>
      </w:r>
      <w:r w:rsidRPr="009806F9">
        <w:rPr>
          <w:rFonts w:ascii="Arial" w:hAnsi="Arial" w:cs="Arial"/>
          <w:sz w:val="28"/>
          <w:szCs w:val="28"/>
        </w:rPr>
        <w:t>.</w:t>
      </w:r>
    </w:p>
    <w:p w:rsidR="005636E8" w:rsidRPr="009806F9" w:rsidRDefault="005636E8" w:rsidP="009806F9">
      <w:pPr>
        <w:ind w:left="360"/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Tabela nr</w:t>
      </w:r>
      <w:r w:rsidR="007C44F8" w:rsidRPr="009806F9">
        <w:rPr>
          <w:rFonts w:ascii="Arial" w:hAnsi="Arial" w:cs="Arial"/>
          <w:sz w:val="28"/>
          <w:szCs w:val="28"/>
        </w:rPr>
        <w:t xml:space="preserve"> 4</w:t>
      </w:r>
      <w:r w:rsidRPr="009806F9">
        <w:rPr>
          <w:rFonts w:ascii="Arial" w:hAnsi="Arial" w:cs="Arial"/>
          <w:sz w:val="28"/>
          <w:szCs w:val="28"/>
        </w:rPr>
        <w:t xml:space="preserve"> </w:t>
      </w:r>
      <w:r w:rsidR="007C44F8" w:rsidRPr="009806F9">
        <w:rPr>
          <w:rFonts w:ascii="Arial" w:hAnsi="Arial" w:cs="Arial"/>
          <w:sz w:val="28"/>
          <w:szCs w:val="28"/>
        </w:rPr>
        <w:t>–</w:t>
      </w:r>
      <w:r w:rsidRPr="009806F9">
        <w:rPr>
          <w:rFonts w:ascii="Arial" w:hAnsi="Arial" w:cs="Arial"/>
          <w:sz w:val="28"/>
          <w:szCs w:val="28"/>
        </w:rPr>
        <w:t xml:space="preserve"> Określanie</w:t>
      </w:r>
      <w:r w:rsidR="007C44F8" w:rsidRPr="009806F9">
        <w:rPr>
          <w:rFonts w:ascii="Arial" w:hAnsi="Arial" w:cs="Arial"/>
          <w:sz w:val="28"/>
          <w:szCs w:val="28"/>
        </w:rPr>
        <w:t xml:space="preserve"> </w:t>
      </w:r>
      <w:r w:rsidRPr="009806F9">
        <w:rPr>
          <w:rFonts w:ascii="Arial" w:hAnsi="Arial" w:cs="Arial"/>
          <w:sz w:val="28"/>
          <w:szCs w:val="28"/>
        </w:rPr>
        <w:t>poziomu podatności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  <w:tblCaption w:val="Określenie poziomu podatności"/>
        <w:tblDescription w:val="Tabela składa się z trzech kolumn. W pierwszej kolumne określono poziomy podatności - niski, średnio-niski, średni, średnio-wysoki oraz wysoki. Dla kadego poziomu podatności, w kolumnie drugiej, określono punkty. Dla poziomu niskiego określono 1 punkt. Dla poziomu średnio-niskiego dwa punkty. Dla poziomu średniego trzy punkty. Dla poziomu średnio-wysokiego cztery punkty. Dla poziomu wysoki pięć punktów. W kolumnie trzeciej, kryteria na podstawie których ustala się poziom podatności."/>
      </w:tblPr>
      <w:tblGrid>
        <w:gridCol w:w="1762"/>
        <w:gridCol w:w="1701"/>
        <w:gridCol w:w="5239"/>
      </w:tblGrid>
      <w:tr w:rsidR="005636E8" w:rsidRPr="009806F9" w:rsidTr="00824941">
        <w:tc>
          <w:tcPr>
            <w:tcW w:w="1762" w:type="dxa"/>
          </w:tcPr>
          <w:p w:rsidR="005636E8" w:rsidRPr="009806F9" w:rsidRDefault="005636E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Poziom</w:t>
            </w:r>
          </w:p>
        </w:tc>
        <w:tc>
          <w:tcPr>
            <w:tcW w:w="1701" w:type="dxa"/>
          </w:tcPr>
          <w:p w:rsidR="005636E8" w:rsidRPr="009806F9" w:rsidRDefault="005636E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Liczba punktów</w:t>
            </w:r>
          </w:p>
        </w:tc>
        <w:tc>
          <w:tcPr>
            <w:tcW w:w="5239" w:type="dxa"/>
            <w:shd w:val="clear" w:color="auto" w:fill="auto"/>
          </w:tcPr>
          <w:p w:rsidR="005636E8" w:rsidRPr="009806F9" w:rsidRDefault="005636E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Kryteria określania poziomu</w:t>
            </w:r>
          </w:p>
        </w:tc>
      </w:tr>
      <w:tr w:rsidR="005636E8" w:rsidRPr="009806F9" w:rsidTr="00824941">
        <w:tc>
          <w:tcPr>
            <w:tcW w:w="1762" w:type="dxa"/>
          </w:tcPr>
          <w:p w:rsidR="005636E8" w:rsidRPr="009806F9" w:rsidRDefault="005636E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Niski</w:t>
            </w:r>
          </w:p>
        </w:tc>
        <w:tc>
          <w:tcPr>
            <w:tcW w:w="1701" w:type="dxa"/>
          </w:tcPr>
          <w:p w:rsidR="005636E8" w:rsidRPr="009806F9" w:rsidRDefault="005636E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239" w:type="dxa"/>
            <w:shd w:val="clear" w:color="auto" w:fill="auto"/>
          </w:tcPr>
          <w:p w:rsidR="00824941" w:rsidRPr="009806F9" w:rsidRDefault="00824941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Oznacza, że istniejące środki minimalizujące ryzyko wystąpienia zagrożenia uważane jako skuteczne są w powszechnym użyciu</w:t>
            </w:r>
          </w:p>
        </w:tc>
      </w:tr>
      <w:tr w:rsidR="005636E8" w:rsidRPr="009806F9" w:rsidTr="00824941">
        <w:tc>
          <w:tcPr>
            <w:tcW w:w="1762" w:type="dxa"/>
          </w:tcPr>
          <w:p w:rsidR="005636E8" w:rsidRPr="009806F9" w:rsidRDefault="005636E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Średnio – Niski</w:t>
            </w:r>
          </w:p>
        </w:tc>
        <w:tc>
          <w:tcPr>
            <w:tcW w:w="1701" w:type="dxa"/>
          </w:tcPr>
          <w:p w:rsidR="005636E8" w:rsidRPr="009806F9" w:rsidRDefault="005636E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239" w:type="dxa"/>
            <w:shd w:val="clear" w:color="auto" w:fill="auto"/>
          </w:tcPr>
          <w:p w:rsidR="005636E8" w:rsidRPr="009806F9" w:rsidRDefault="005636E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Oznacza, że środki minimalizujące ryzyko są generalnie stosowane, ale mogą być niedojrzałe lub skuteczne częściowo. Na przykład, mogą istnieć szerokie wymagania krajowe dla wszystkich obszarów i aspektów, ale można je dalej rozwijać lub lepiej stosować w praktyce</w:t>
            </w:r>
          </w:p>
        </w:tc>
      </w:tr>
      <w:tr w:rsidR="005636E8" w:rsidRPr="009806F9" w:rsidTr="00824941">
        <w:tc>
          <w:tcPr>
            <w:tcW w:w="1762" w:type="dxa"/>
          </w:tcPr>
          <w:p w:rsidR="005636E8" w:rsidRPr="009806F9" w:rsidRDefault="005636E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Średni</w:t>
            </w:r>
          </w:p>
        </w:tc>
        <w:tc>
          <w:tcPr>
            <w:tcW w:w="1701" w:type="dxa"/>
          </w:tcPr>
          <w:p w:rsidR="005636E8" w:rsidRPr="009806F9" w:rsidRDefault="005636E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239" w:type="dxa"/>
            <w:shd w:val="clear" w:color="auto" w:fill="auto"/>
          </w:tcPr>
          <w:p w:rsidR="005636E8" w:rsidRPr="009806F9" w:rsidRDefault="005636E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Oznacza, że występują cechy obu ocen podatności ocenionych jako &lt;Średnio wysoka&gt; i &lt;Średnio niska&gt;</w:t>
            </w:r>
          </w:p>
        </w:tc>
      </w:tr>
      <w:tr w:rsidR="005636E8" w:rsidRPr="009806F9" w:rsidTr="00824941">
        <w:tc>
          <w:tcPr>
            <w:tcW w:w="1762" w:type="dxa"/>
          </w:tcPr>
          <w:p w:rsidR="005636E8" w:rsidRPr="009806F9" w:rsidRDefault="005636E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Średnio – Wysoki</w:t>
            </w:r>
          </w:p>
        </w:tc>
        <w:tc>
          <w:tcPr>
            <w:tcW w:w="1701" w:type="dxa"/>
          </w:tcPr>
          <w:p w:rsidR="005636E8" w:rsidRPr="009806F9" w:rsidRDefault="005636E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239" w:type="dxa"/>
            <w:shd w:val="clear" w:color="auto" w:fill="auto"/>
          </w:tcPr>
          <w:p w:rsidR="00824941" w:rsidRPr="009806F9" w:rsidRDefault="00824941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Oznacza, że środki minimalizujące ryzyko mają ograniczony zasięg i nie obejmują wszystkich obszarów związanych z wystąpieniem zagrożenia lub środki te nie są generalnie skuteczne</w:t>
            </w:r>
          </w:p>
        </w:tc>
      </w:tr>
      <w:tr w:rsidR="005636E8" w:rsidRPr="009806F9" w:rsidTr="00824941">
        <w:tc>
          <w:tcPr>
            <w:tcW w:w="1762" w:type="dxa"/>
          </w:tcPr>
          <w:p w:rsidR="005636E8" w:rsidRPr="009806F9" w:rsidRDefault="005636E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Wysoki</w:t>
            </w:r>
          </w:p>
        </w:tc>
        <w:tc>
          <w:tcPr>
            <w:tcW w:w="1701" w:type="dxa"/>
          </w:tcPr>
          <w:p w:rsidR="005636E8" w:rsidRPr="009806F9" w:rsidRDefault="005636E8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239" w:type="dxa"/>
            <w:shd w:val="clear" w:color="auto" w:fill="auto"/>
          </w:tcPr>
          <w:p w:rsidR="00824941" w:rsidRPr="009806F9" w:rsidRDefault="00824941" w:rsidP="009806F9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Oznacza, że środki minimalizujące ryzyko nie są skuteczne albo organizacja nie stosuje tych środków</w:t>
            </w:r>
          </w:p>
        </w:tc>
      </w:tr>
    </w:tbl>
    <w:p w:rsidR="005636E8" w:rsidRPr="009806F9" w:rsidRDefault="005636E8" w:rsidP="009806F9">
      <w:pPr>
        <w:ind w:left="360"/>
        <w:rPr>
          <w:rFonts w:ascii="Arial" w:hAnsi="Arial" w:cs="Arial"/>
          <w:sz w:val="28"/>
          <w:szCs w:val="28"/>
        </w:rPr>
      </w:pPr>
    </w:p>
    <w:p w:rsidR="00F06E62" w:rsidRPr="009806F9" w:rsidRDefault="00F06E62" w:rsidP="009806F9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 xml:space="preserve">Ryzyko </w:t>
      </w:r>
      <w:r w:rsidR="00E02D70" w:rsidRPr="009806F9">
        <w:rPr>
          <w:rFonts w:ascii="Arial" w:hAnsi="Arial" w:cs="Arial"/>
          <w:sz w:val="28"/>
          <w:szCs w:val="28"/>
        </w:rPr>
        <w:t>jest oblicz</w:t>
      </w:r>
      <w:r w:rsidR="00760A19" w:rsidRPr="009806F9">
        <w:rPr>
          <w:rFonts w:ascii="Arial" w:hAnsi="Arial" w:cs="Arial"/>
          <w:sz w:val="28"/>
          <w:szCs w:val="28"/>
        </w:rPr>
        <w:t>a</w:t>
      </w:r>
      <w:r w:rsidR="00E02D70" w:rsidRPr="009806F9">
        <w:rPr>
          <w:rFonts w:ascii="Arial" w:hAnsi="Arial" w:cs="Arial"/>
          <w:sz w:val="28"/>
          <w:szCs w:val="28"/>
        </w:rPr>
        <w:t>ne</w:t>
      </w:r>
      <w:r w:rsidR="00760A19" w:rsidRPr="009806F9">
        <w:rPr>
          <w:rFonts w:ascii="Arial" w:hAnsi="Arial" w:cs="Arial"/>
          <w:sz w:val="28"/>
          <w:szCs w:val="28"/>
        </w:rPr>
        <w:t xml:space="preserve"> </w:t>
      </w:r>
      <w:r w:rsidRPr="009806F9">
        <w:rPr>
          <w:rFonts w:ascii="Arial" w:hAnsi="Arial" w:cs="Arial"/>
          <w:sz w:val="28"/>
          <w:szCs w:val="28"/>
        </w:rPr>
        <w:t>według poniższego wzoru.</w:t>
      </w:r>
    </w:p>
    <w:p w:rsidR="00F06E62" w:rsidRPr="009806F9" w:rsidRDefault="00F06E62" w:rsidP="009806F9">
      <w:pPr>
        <w:ind w:left="360"/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 xml:space="preserve">Wzór nr </w:t>
      </w:r>
      <w:r w:rsidR="00463360" w:rsidRPr="009806F9">
        <w:rPr>
          <w:rFonts w:ascii="Arial" w:hAnsi="Arial" w:cs="Arial"/>
          <w:sz w:val="28"/>
          <w:szCs w:val="28"/>
        </w:rPr>
        <w:t>2</w:t>
      </w:r>
      <w:r w:rsidRPr="009806F9">
        <w:rPr>
          <w:rFonts w:ascii="Arial" w:hAnsi="Arial" w:cs="Arial"/>
          <w:sz w:val="28"/>
          <w:szCs w:val="28"/>
        </w:rPr>
        <w:t xml:space="preserve"> - Obliczanie ryzyka</w:t>
      </w:r>
    </w:p>
    <w:p w:rsidR="00463360" w:rsidRPr="009806F9" w:rsidRDefault="00463360" w:rsidP="009806F9">
      <w:pPr>
        <w:ind w:left="360"/>
        <w:rPr>
          <w:rFonts w:ascii="Arial" w:hAnsi="Arial" w:cs="Arial"/>
          <w:b/>
          <w:sz w:val="28"/>
          <w:szCs w:val="28"/>
        </w:rPr>
      </w:pPr>
      <w:r w:rsidRPr="009806F9">
        <w:rPr>
          <w:rFonts w:ascii="Arial" w:hAnsi="Arial" w:cs="Arial"/>
          <w:b/>
          <w:sz w:val="28"/>
          <w:szCs w:val="28"/>
        </w:rPr>
        <w:t>Ryzyko = Poz. P. Zagr. * Poz. Pod.</w:t>
      </w:r>
    </w:p>
    <w:p w:rsidR="00463360" w:rsidRPr="009806F9" w:rsidRDefault="00463360" w:rsidP="009806F9">
      <w:pPr>
        <w:pStyle w:val="Bezodstpw"/>
        <w:ind w:left="708"/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Legenda:</w:t>
      </w:r>
    </w:p>
    <w:p w:rsidR="00463360" w:rsidRPr="009806F9" w:rsidRDefault="00463360" w:rsidP="009806F9">
      <w:pPr>
        <w:pStyle w:val="Bezodstpw"/>
        <w:ind w:left="708"/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Ryzyko – Ryzyko</w:t>
      </w:r>
    </w:p>
    <w:p w:rsidR="00463360" w:rsidRPr="009806F9" w:rsidRDefault="00463360" w:rsidP="009806F9">
      <w:pPr>
        <w:pStyle w:val="Bezodstpw"/>
        <w:ind w:left="708"/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Poz. P. Zagr. – Poziom Prawdopodobieństwa Zagrożenia</w:t>
      </w:r>
    </w:p>
    <w:p w:rsidR="00463360" w:rsidRPr="009806F9" w:rsidRDefault="00463360" w:rsidP="009806F9">
      <w:pPr>
        <w:pStyle w:val="Bezodstpw"/>
        <w:ind w:left="708"/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Poz. Pod. – Poziom Podatności</w:t>
      </w:r>
    </w:p>
    <w:p w:rsidR="00463360" w:rsidRPr="009806F9" w:rsidRDefault="00463360" w:rsidP="009806F9">
      <w:pPr>
        <w:ind w:left="360"/>
        <w:rPr>
          <w:rFonts w:ascii="Arial" w:hAnsi="Arial" w:cs="Arial"/>
          <w:sz w:val="28"/>
          <w:szCs w:val="28"/>
        </w:rPr>
      </w:pPr>
    </w:p>
    <w:p w:rsidR="00EE5750" w:rsidRPr="009806F9" w:rsidRDefault="00F06E62" w:rsidP="009806F9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 xml:space="preserve">W kolumnie </w:t>
      </w:r>
      <w:r w:rsidR="00356888" w:rsidRPr="009806F9">
        <w:rPr>
          <w:rFonts w:ascii="Arial" w:hAnsi="Arial" w:cs="Arial"/>
          <w:sz w:val="28"/>
          <w:szCs w:val="28"/>
        </w:rPr>
        <w:t xml:space="preserve">I </w:t>
      </w:r>
      <w:r w:rsidR="00E02D70" w:rsidRPr="009806F9">
        <w:rPr>
          <w:rFonts w:ascii="Arial" w:hAnsi="Arial" w:cs="Arial"/>
          <w:sz w:val="28"/>
          <w:szCs w:val="28"/>
        </w:rPr>
        <w:t>zostanie wpisany</w:t>
      </w:r>
      <w:r w:rsidRPr="009806F9">
        <w:rPr>
          <w:rFonts w:ascii="Arial" w:hAnsi="Arial" w:cs="Arial"/>
          <w:sz w:val="28"/>
          <w:szCs w:val="28"/>
        </w:rPr>
        <w:t xml:space="preserve"> odpowiedni poziom ryzyka. Poziom ten określany jest według zasad przedstawionych w poniższej tabeli.</w:t>
      </w:r>
    </w:p>
    <w:p w:rsidR="00F06E62" w:rsidRPr="009806F9" w:rsidRDefault="00F06E62" w:rsidP="009806F9">
      <w:pPr>
        <w:ind w:left="360"/>
        <w:rPr>
          <w:rFonts w:ascii="Arial" w:hAnsi="Arial" w:cs="Arial"/>
          <w:sz w:val="28"/>
          <w:szCs w:val="28"/>
        </w:rPr>
      </w:pPr>
      <w:r w:rsidRPr="009806F9">
        <w:rPr>
          <w:rFonts w:ascii="Arial" w:hAnsi="Arial" w:cs="Arial"/>
          <w:sz w:val="28"/>
          <w:szCs w:val="28"/>
        </w:rPr>
        <w:t>Tabela nr</w:t>
      </w:r>
      <w:r w:rsidR="007C44F8" w:rsidRPr="009806F9">
        <w:rPr>
          <w:rFonts w:ascii="Arial" w:hAnsi="Arial" w:cs="Arial"/>
          <w:sz w:val="28"/>
          <w:szCs w:val="28"/>
        </w:rPr>
        <w:t xml:space="preserve"> 5</w:t>
      </w:r>
      <w:r w:rsidRPr="009806F9">
        <w:rPr>
          <w:rFonts w:ascii="Arial" w:hAnsi="Arial" w:cs="Arial"/>
          <w:sz w:val="28"/>
          <w:szCs w:val="28"/>
        </w:rPr>
        <w:t xml:space="preserve"> </w:t>
      </w:r>
      <w:r w:rsidR="007C44F8" w:rsidRPr="009806F9">
        <w:rPr>
          <w:rFonts w:ascii="Arial" w:hAnsi="Arial" w:cs="Arial"/>
          <w:sz w:val="28"/>
          <w:szCs w:val="28"/>
        </w:rPr>
        <w:t>–</w:t>
      </w:r>
      <w:r w:rsidRPr="009806F9">
        <w:rPr>
          <w:rFonts w:ascii="Arial" w:hAnsi="Arial" w:cs="Arial"/>
          <w:sz w:val="28"/>
          <w:szCs w:val="28"/>
        </w:rPr>
        <w:t xml:space="preserve"> Określanie</w:t>
      </w:r>
      <w:r w:rsidR="007C44F8" w:rsidRPr="009806F9">
        <w:rPr>
          <w:rFonts w:ascii="Arial" w:hAnsi="Arial" w:cs="Arial"/>
          <w:sz w:val="28"/>
          <w:szCs w:val="28"/>
        </w:rPr>
        <w:t xml:space="preserve"> </w:t>
      </w:r>
      <w:r w:rsidRPr="009806F9">
        <w:rPr>
          <w:rFonts w:ascii="Arial" w:hAnsi="Arial" w:cs="Arial"/>
          <w:sz w:val="28"/>
          <w:szCs w:val="28"/>
        </w:rPr>
        <w:t>poziomu ryzyka</w:t>
      </w:r>
    </w:p>
    <w:tbl>
      <w:tblPr>
        <w:tblStyle w:val="Tabela-Siatka"/>
        <w:tblpPr w:leftFromText="141" w:rightFromText="141" w:tblpY="704"/>
        <w:tblW w:w="8566" w:type="dxa"/>
        <w:tblLook w:val="04A0" w:firstRow="1" w:lastRow="0" w:firstColumn="1" w:lastColumn="0" w:noHBand="0" w:noVBand="1"/>
        <w:tblCaption w:val="Określenie poziomu ryzyka"/>
        <w:tblDescription w:val="Tabela składa się z trzech kolumn. W pierwszej kolumne określono wyniki dla określonych poziomów ryzyka. Dla poziomu niski wynik mieści się w przedziale od jeden do dwóch punktów. Dla poziomu średnio-niski wynik mieści się w przedziale od trzech do czterech punktów. Dla poziomu średni wynik mieści się w przedziale od pięciu do dziewięciu punktów. Dla poziomu średnio-wysoki wyniki mieści się w przedziale od dziesięciu do piętnastu punktów. Dla poziomu wysoki wynik mieści się w przedziale od szenastu do dwudziestu pięciu punktów. Poziomy zagrożeń te zostały wymienione w kolumnie druiej - poziom niski, poziom średnio-niski, poziom średni, poziom średnio-niski oraz poziom wysoki. W kolumnie trzeciej została przypisany wartość liczbowa dla każdego poziomu zagrożenia. Dla poziomu niskiego przpisano wartość liczbową jeden. Dla poziomu średnio-nisko przypisano wartość liczbową dwa. Dla poziomu średni przypisano wartość trzy. Dla poziomu średnio-wysoki przypisano wartość liczbową cztery. Dla poziomu wysoki przypisano wartość liczbową pięć. "/>
      </w:tblPr>
      <w:tblGrid>
        <w:gridCol w:w="4171"/>
        <w:gridCol w:w="2268"/>
        <w:gridCol w:w="2127"/>
      </w:tblGrid>
      <w:tr w:rsidR="00760A19" w:rsidRPr="009806F9" w:rsidTr="008C1085">
        <w:tc>
          <w:tcPr>
            <w:tcW w:w="4171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Wynik</w:t>
            </w:r>
          </w:p>
        </w:tc>
        <w:tc>
          <w:tcPr>
            <w:tcW w:w="2268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Poziom zagrożenia</w:t>
            </w:r>
          </w:p>
        </w:tc>
        <w:tc>
          <w:tcPr>
            <w:tcW w:w="2127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 xml:space="preserve">Wartość liczbowa w kolumnie I </w:t>
            </w:r>
          </w:p>
        </w:tc>
      </w:tr>
      <w:tr w:rsidR="00760A19" w:rsidRPr="009806F9" w:rsidTr="008C1085">
        <w:tc>
          <w:tcPr>
            <w:tcW w:w="4171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Wynik mieści się w przedziale 1 – 2 punktów</w:t>
            </w:r>
          </w:p>
        </w:tc>
        <w:tc>
          <w:tcPr>
            <w:tcW w:w="2268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Niski</w:t>
            </w:r>
          </w:p>
        </w:tc>
        <w:tc>
          <w:tcPr>
            <w:tcW w:w="2127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60A19" w:rsidRPr="009806F9" w:rsidTr="008C1085">
        <w:tc>
          <w:tcPr>
            <w:tcW w:w="4171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Wynik mieści się w przedziale 3 – 4 punktów</w:t>
            </w:r>
          </w:p>
        </w:tc>
        <w:tc>
          <w:tcPr>
            <w:tcW w:w="2268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Średnio – Niski</w:t>
            </w:r>
          </w:p>
        </w:tc>
        <w:tc>
          <w:tcPr>
            <w:tcW w:w="2127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760A19" w:rsidRPr="009806F9" w:rsidTr="008C1085">
        <w:tc>
          <w:tcPr>
            <w:tcW w:w="4171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Wynik mieści się w przedziale 5 – 9 punktów</w:t>
            </w:r>
          </w:p>
        </w:tc>
        <w:tc>
          <w:tcPr>
            <w:tcW w:w="2268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Średni</w:t>
            </w:r>
          </w:p>
        </w:tc>
        <w:tc>
          <w:tcPr>
            <w:tcW w:w="2127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760A19" w:rsidRPr="009806F9" w:rsidTr="008C1085">
        <w:tc>
          <w:tcPr>
            <w:tcW w:w="4171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Wynik mieści się w przedziale 10 -15 punktów</w:t>
            </w:r>
          </w:p>
        </w:tc>
        <w:tc>
          <w:tcPr>
            <w:tcW w:w="2268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Średnio – Wysoki</w:t>
            </w:r>
          </w:p>
        </w:tc>
        <w:tc>
          <w:tcPr>
            <w:tcW w:w="2127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760A19" w:rsidRPr="009806F9" w:rsidTr="008C1085">
        <w:tc>
          <w:tcPr>
            <w:tcW w:w="4171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Wynik mieści się w przedziale 16 – 25 punktów</w:t>
            </w:r>
          </w:p>
        </w:tc>
        <w:tc>
          <w:tcPr>
            <w:tcW w:w="2268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Wysoki</w:t>
            </w:r>
          </w:p>
        </w:tc>
        <w:tc>
          <w:tcPr>
            <w:tcW w:w="2127" w:type="dxa"/>
          </w:tcPr>
          <w:p w:rsidR="00760A19" w:rsidRPr="009806F9" w:rsidRDefault="00760A19" w:rsidP="008C1085">
            <w:pPr>
              <w:rPr>
                <w:rFonts w:ascii="Arial" w:hAnsi="Arial" w:cs="Arial"/>
                <w:sz w:val="28"/>
                <w:szCs w:val="28"/>
              </w:rPr>
            </w:pPr>
            <w:r w:rsidRPr="009806F9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</w:tbl>
    <w:p w:rsidR="00E02D70" w:rsidRPr="009806F9" w:rsidRDefault="00E02D70" w:rsidP="009806F9">
      <w:pPr>
        <w:rPr>
          <w:rFonts w:ascii="Arial" w:hAnsi="Arial" w:cs="Arial"/>
          <w:sz w:val="28"/>
          <w:szCs w:val="28"/>
        </w:rPr>
      </w:pPr>
    </w:p>
    <w:sectPr w:rsidR="00E02D70" w:rsidRPr="0098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D18C7"/>
    <w:multiLevelType w:val="hybridMultilevel"/>
    <w:tmpl w:val="6712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C36D1"/>
    <w:multiLevelType w:val="hybridMultilevel"/>
    <w:tmpl w:val="1EBED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3E"/>
    <w:rsid w:val="00073D30"/>
    <w:rsid w:val="00081C55"/>
    <w:rsid w:val="0010621C"/>
    <w:rsid w:val="00160943"/>
    <w:rsid w:val="001735D7"/>
    <w:rsid w:val="001F0096"/>
    <w:rsid w:val="00356888"/>
    <w:rsid w:val="00380FA5"/>
    <w:rsid w:val="004345DF"/>
    <w:rsid w:val="00442357"/>
    <w:rsid w:val="00463360"/>
    <w:rsid w:val="004C568F"/>
    <w:rsid w:val="004F59DB"/>
    <w:rsid w:val="0050449E"/>
    <w:rsid w:val="005636E8"/>
    <w:rsid w:val="00657D3E"/>
    <w:rsid w:val="006F05FC"/>
    <w:rsid w:val="006F3AB9"/>
    <w:rsid w:val="00760A19"/>
    <w:rsid w:val="007C44F8"/>
    <w:rsid w:val="00822FC6"/>
    <w:rsid w:val="00824941"/>
    <w:rsid w:val="008C1085"/>
    <w:rsid w:val="008F3DB4"/>
    <w:rsid w:val="009212A7"/>
    <w:rsid w:val="00921A57"/>
    <w:rsid w:val="00940A5D"/>
    <w:rsid w:val="009806F9"/>
    <w:rsid w:val="00987517"/>
    <w:rsid w:val="00A236DE"/>
    <w:rsid w:val="00A72EE8"/>
    <w:rsid w:val="00D9625D"/>
    <w:rsid w:val="00E02D70"/>
    <w:rsid w:val="00EE334D"/>
    <w:rsid w:val="00EE5750"/>
    <w:rsid w:val="00F0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C2628-DCAA-45CD-8EB8-75C16DF4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0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D3E"/>
    <w:pPr>
      <w:ind w:left="720"/>
      <w:contextualSpacing/>
    </w:pPr>
  </w:style>
  <w:style w:type="table" w:styleId="Tabela-Siatka">
    <w:name w:val="Table Grid"/>
    <w:basedOn w:val="Standardowy"/>
    <w:uiPriority w:val="39"/>
    <w:rsid w:val="00D96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9625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12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12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12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2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12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A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806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848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Jurkiewicz Marta</dc:creator>
  <cp:keywords/>
  <dc:description/>
  <cp:lastModifiedBy>Jurkiewicz Marta</cp:lastModifiedBy>
  <cp:revision>6</cp:revision>
  <dcterms:created xsi:type="dcterms:W3CDTF">2021-12-22T10:38:00Z</dcterms:created>
  <dcterms:modified xsi:type="dcterms:W3CDTF">2023-11-06T11:06:00Z</dcterms:modified>
</cp:coreProperties>
</file>