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DA8" w:rsidRPr="00913473" w:rsidRDefault="00DB44E8" w:rsidP="00913473">
      <w:pPr>
        <w:jc w:val="center"/>
        <w:rPr>
          <w:b/>
        </w:rPr>
      </w:pPr>
      <w:bookmarkStart w:id="0" w:name="_GoBack"/>
      <w:r w:rsidRPr="00913473">
        <w:rPr>
          <w:b/>
        </w:rPr>
        <w:t xml:space="preserve">Realizacja Planu strategicznego </w:t>
      </w:r>
      <w:r w:rsidR="00913473" w:rsidRPr="00913473">
        <w:rPr>
          <w:b/>
        </w:rPr>
        <w:t>Urzędu Lotnictwa Cywilnego w latach</w:t>
      </w:r>
      <w:r w:rsidRPr="00913473">
        <w:rPr>
          <w:b/>
        </w:rPr>
        <w:t xml:space="preserve"> 2015</w:t>
      </w:r>
      <w:r w:rsidRPr="00913473">
        <w:rPr>
          <w:b/>
        </w:rPr>
        <w:sym w:font="Symbol" w:char="F02D"/>
      </w:r>
      <w:r w:rsidRPr="00913473">
        <w:rPr>
          <w:b/>
        </w:rPr>
        <w:t>2019</w:t>
      </w:r>
    </w:p>
    <w:bookmarkEnd w:id="0"/>
    <w:p w:rsidR="00913473" w:rsidRDefault="00913473" w:rsidP="00913473">
      <w:pPr>
        <w:ind w:firstLine="567"/>
        <w:jc w:val="both"/>
      </w:pPr>
    </w:p>
    <w:p w:rsidR="003B5D79" w:rsidRDefault="003B5D79" w:rsidP="00913473">
      <w:pPr>
        <w:ind w:firstLine="567"/>
        <w:jc w:val="both"/>
      </w:pPr>
    </w:p>
    <w:p w:rsidR="00913473" w:rsidRDefault="00583553" w:rsidP="00913473">
      <w:pPr>
        <w:ind w:firstLine="567"/>
        <w:jc w:val="both"/>
      </w:pPr>
      <w:r>
        <w:t xml:space="preserve">W dniu 31 grudnia 2019 roku dobiegła końca realizacja </w:t>
      </w:r>
      <w:r w:rsidR="00913473">
        <w:t>Plan</w:t>
      </w:r>
      <w:r>
        <w:t>u</w:t>
      </w:r>
      <w:r w:rsidR="00913473">
        <w:t xml:space="preserve"> strategiczn</w:t>
      </w:r>
      <w:r>
        <w:t>ego</w:t>
      </w:r>
      <w:r w:rsidR="00913473">
        <w:t xml:space="preserve"> Urzędu Lotnictwa Cywilnego na lata 2015</w:t>
      </w:r>
      <w:r w:rsidR="00913473">
        <w:sym w:font="Symbol" w:char="F02D"/>
      </w:r>
      <w:r w:rsidR="00913473">
        <w:t>2019</w:t>
      </w:r>
      <w:r>
        <w:t>, który</w:t>
      </w:r>
      <w:r w:rsidR="00913473">
        <w:t xml:space="preserve"> został wprowadzony decyzją nr 9 Prezesa Urzędu Lotnictwa Cywilnego z dnia 29 stycznia 2015 roku. Na przestrzeni lat treść Planu ulegała pewnym zmianom</w:t>
      </w:r>
      <w:r w:rsidR="008E4D0F">
        <w:t>.</w:t>
      </w:r>
      <w:r w:rsidR="00913473">
        <w:t xml:space="preserve"> </w:t>
      </w:r>
      <w:r w:rsidR="00F668E5">
        <w:t>Korekty Planu wprowadzano formalnie poprzez publikowane w Dzienniku Urzędowym ULC decyzje zmieniające ww. decyzję z dnia 29 stycznia 2015 roku. Ostatnia opublikowana aktualizacja Planu strategicznego została wprowadzona decyzją nr 15</w:t>
      </w:r>
      <w:r w:rsidR="00F668E5" w:rsidRPr="00F668E5">
        <w:t xml:space="preserve"> </w:t>
      </w:r>
      <w:r w:rsidR="00F668E5">
        <w:t>Prezesa Urzędu Lotnictwa Cywilnego z dnia 16 lipca 2018 roku.</w:t>
      </w:r>
    </w:p>
    <w:p w:rsidR="00F668E5" w:rsidRDefault="00F668E5" w:rsidP="00913473">
      <w:pPr>
        <w:ind w:firstLine="567"/>
        <w:jc w:val="both"/>
      </w:pPr>
    </w:p>
    <w:p w:rsidR="00C140BB" w:rsidRPr="00C140BB" w:rsidRDefault="00C140BB" w:rsidP="00C140BB">
      <w:pPr>
        <w:ind w:firstLine="567"/>
        <w:jc w:val="both"/>
      </w:pPr>
      <w:r w:rsidRPr="00C140BB">
        <w:t>Plan strategiczny ULC na lata 2015</w:t>
      </w:r>
      <w:r w:rsidRPr="00C140BB">
        <w:sym w:font="Symbol" w:char="F02D"/>
      </w:r>
      <w:r w:rsidRPr="00C140BB">
        <w:t>2019 określał między innymi misję i wartości ULC. Zawierał rozdział poświęcony uwarunkowaniom funkcjonowania lotnictwa cywilnego w Polsce z analizą interesariuszy ULC, analizą SWOT oraz analizą problemów i potencjalnych celów, a także wyznaczał cele strategiczne i operacyjne ULC oraz zadania mające służyć realizacji tych celów.</w:t>
      </w:r>
    </w:p>
    <w:p w:rsidR="00F668E5" w:rsidRDefault="00F668E5" w:rsidP="00913473">
      <w:pPr>
        <w:ind w:firstLine="567"/>
        <w:jc w:val="both"/>
      </w:pPr>
    </w:p>
    <w:p w:rsidR="00F85BF9" w:rsidRDefault="00913473" w:rsidP="00C140BB">
      <w:pPr>
        <w:ind w:firstLine="567"/>
        <w:jc w:val="both"/>
      </w:pPr>
      <w:r>
        <w:t>Plan strategiczny ULC opierał się na trzech celach strategicznych, do których przyporządkowano cztery wskaźniki</w:t>
      </w:r>
      <w:r w:rsidR="0043371F">
        <w:rPr>
          <w:rStyle w:val="Odwoanieprzypisudolnego"/>
        </w:rPr>
        <w:footnoteReference w:id="1"/>
      </w:r>
      <w:r>
        <w:t xml:space="preserve">. </w:t>
      </w:r>
      <w:r w:rsidR="0043371F">
        <w:t>W 2019 roku – ostatnim roku obowiązywania Planu – realizacja wskaźników przedstawiała się następująco:</w:t>
      </w:r>
    </w:p>
    <w:p w:rsidR="003E288C" w:rsidRDefault="003E288C" w:rsidP="003E288C">
      <w:pPr>
        <w:jc w:val="both"/>
      </w:pPr>
    </w:p>
    <w:p w:rsidR="009A6801" w:rsidRDefault="009A6801" w:rsidP="003E288C">
      <w:pPr>
        <w:jc w:val="both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DE9D9"/>
        <w:tblLook w:val="04A0" w:firstRow="1" w:lastRow="0" w:firstColumn="1" w:lastColumn="0" w:noHBand="0" w:noVBand="1"/>
      </w:tblPr>
      <w:tblGrid>
        <w:gridCol w:w="2647"/>
        <w:gridCol w:w="2848"/>
        <w:gridCol w:w="1984"/>
        <w:gridCol w:w="1809"/>
      </w:tblGrid>
      <w:tr w:rsidR="00C140BB" w:rsidRPr="007A3D6B" w:rsidTr="00FB2354">
        <w:trPr>
          <w:cantSplit/>
          <w:trHeight w:val="600"/>
          <w:jc w:val="center"/>
        </w:trPr>
        <w:tc>
          <w:tcPr>
            <w:tcW w:w="1425" w:type="pct"/>
            <w:vMerge w:val="restart"/>
            <w:shd w:val="clear" w:color="auto" w:fill="8DB3E2"/>
            <w:vAlign w:val="center"/>
          </w:tcPr>
          <w:p w:rsidR="00C140BB" w:rsidRPr="007A3D6B" w:rsidRDefault="00C140BB" w:rsidP="00FB2354">
            <w:pPr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0"/>
              </w:rPr>
            </w:pPr>
            <w:r w:rsidRPr="007A3D6B">
              <w:rPr>
                <w:b/>
                <w:sz w:val="20"/>
              </w:rPr>
              <w:t>Cel strategiczny</w:t>
            </w:r>
          </w:p>
        </w:tc>
        <w:tc>
          <w:tcPr>
            <w:tcW w:w="1533" w:type="pct"/>
            <w:vMerge w:val="restart"/>
            <w:shd w:val="clear" w:color="auto" w:fill="8DB3E2"/>
            <w:vAlign w:val="center"/>
          </w:tcPr>
          <w:p w:rsidR="00C140BB" w:rsidRPr="00A60DB8" w:rsidRDefault="00C140BB" w:rsidP="00FB2354">
            <w:pPr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0"/>
              </w:rPr>
            </w:pPr>
            <w:r w:rsidRPr="007A3D6B">
              <w:rPr>
                <w:b/>
                <w:sz w:val="20"/>
              </w:rPr>
              <w:t>Definicja wskaźnika</w:t>
            </w:r>
          </w:p>
        </w:tc>
        <w:tc>
          <w:tcPr>
            <w:tcW w:w="204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140BB" w:rsidRPr="007A3D6B" w:rsidRDefault="00C140BB" w:rsidP="00FB2354">
            <w:pPr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0"/>
              </w:rPr>
            </w:pPr>
            <w:r w:rsidRPr="00A60DB8">
              <w:rPr>
                <w:b/>
                <w:sz w:val="20"/>
              </w:rPr>
              <w:t xml:space="preserve">Wartość wskaźnika </w:t>
            </w:r>
          </w:p>
        </w:tc>
      </w:tr>
      <w:tr w:rsidR="00C140BB" w:rsidRPr="007A3D6B" w:rsidTr="00FB2354">
        <w:trPr>
          <w:cantSplit/>
          <w:trHeight w:val="457"/>
          <w:jc w:val="center"/>
        </w:trPr>
        <w:tc>
          <w:tcPr>
            <w:tcW w:w="1425" w:type="pct"/>
            <w:vMerge/>
            <w:shd w:val="clear" w:color="auto" w:fill="8DB3E2"/>
            <w:vAlign w:val="center"/>
          </w:tcPr>
          <w:p w:rsidR="00C140BB" w:rsidRPr="007A3D6B" w:rsidRDefault="00C140BB" w:rsidP="00FB2354">
            <w:pPr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533" w:type="pct"/>
            <w:vMerge/>
            <w:shd w:val="clear" w:color="auto" w:fill="8DB3E2"/>
            <w:vAlign w:val="center"/>
          </w:tcPr>
          <w:p w:rsidR="00C140BB" w:rsidRPr="007A3D6B" w:rsidRDefault="00C140BB" w:rsidP="00FB2354">
            <w:pPr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140BB" w:rsidRPr="00A60DB8" w:rsidRDefault="00C140BB" w:rsidP="00FB2354">
            <w:pPr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0"/>
              </w:rPr>
            </w:pPr>
            <w:r w:rsidRPr="009E08C3">
              <w:rPr>
                <w:b/>
                <w:sz w:val="20"/>
              </w:rPr>
              <w:t>Planowana do osiągnięcia</w:t>
            </w:r>
            <w:r>
              <w:rPr>
                <w:b/>
                <w:sz w:val="20"/>
              </w:rPr>
              <w:t xml:space="preserve"> na koniec 2019 roku</w:t>
            </w:r>
          </w:p>
        </w:tc>
        <w:tc>
          <w:tcPr>
            <w:tcW w:w="974" w:type="pct"/>
            <w:tcBorders>
              <w:top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C140BB" w:rsidRPr="00A60DB8" w:rsidRDefault="00C140BB" w:rsidP="00FB2354">
            <w:pPr>
              <w:spacing w:before="100" w:beforeAutospacing="1" w:after="100" w:afterAutospacing="1" w:line="240" w:lineRule="auto"/>
              <w:contextualSpacing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Osiągnięta w 2019 roku</w:t>
            </w:r>
          </w:p>
        </w:tc>
      </w:tr>
      <w:tr w:rsidR="00C140BB" w:rsidRPr="007A3D6B" w:rsidTr="00FB2354">
        <w:trPr>
          <w:cantSplit/>
          <w:trHeight w:val="1695"/>
          <w:jc w:val="center"/>
        </w:trPr>
        <w:tc>
          <w:tcPr>
            <w:tcW w:w="1425" w:type="pct"/>
            <w:shd w:val="clear" w:color="auto" w:fill="auto"/>
          </w:tcPr>
          <w:p w:rsidR="00C140BB" w:rsidRPr="0043371F" w:rsidRDefault="00C140BB" w:rsidP="00FB23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rPr>
                <w:sz w:val="20"/>
              </w:rPr>
            </w:pPr>
            <w:r w:rsidRPr="0043371F">
              <w:rPr>
                <w:b/>
                <w:sz w:val="20"/>
              </w:rPr>
              <w:t>Skuteczny nadzór nad bezpieczeństwem w lotnictwie cywilnym</w:t>
            </w:r>
          </w:p>
        </w:tc>
        <w:tc>
          <w:tcPr>
            <w:tcW w:w="1533" w:type="pct"/>
            <w:shd w:val="clear" w:color="auto" w:fill="auto"/>
          </w:tcPr>
          <w:p w:rsidR="00C140BB" w:rsidRPr="009E08C3" w:rsidRDefault="00C140BB" w:rsidP="00FB235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448" w:hanging="426"/>
              <w:contextualSpacing/>
              <w:rPr>
                <w:sz w:val="20"/>
              </w:rPr>
            </w:pPr>
            <w:r w:rsidRPr="0043371F">
              <w:rPr>
                <w:sz w:val="20"/>
              </w:rPr>
              <w:t>Stopień realizacji rocznych planów kontroli w nadzorowanych podmiotach (%)</w:t>
            </w:r>
          </w:p>
        </w:tc>
        <w:tc>
          <w:tcPr>
            <w:tcW w:w="1068" w:type="pct"/>
            <w:vAlign w:val="center"/>
          </w:tcPr>
          <w:p w:rsidR="00C140BB" w:rsidRPr="0043371F" w:rsidRDefault="00C140BB" w:rsidP="00FB235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nie mniej niż 85%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C140BB" w:rsidRPr="0043371F" w:rsidRDefault="00C140BB" w:rsidP="00FB235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0"/>
              </w:rPr>
            </w:pPr>
            <w:r w:rsidRPr="0043371F">
              <w:rPr>
                <w:sz w:val="20"/>
              </w:rPr>
              <w:t>94</w:t>
            </w:r>
            <w:r>
              <w:rPr>
                <w:sz w:val="20"/>
              </w:rPr>
              <w:t>%</w:t>
            </w:r>
          </w:p>
        </w:tc>
      </w:tr>
      <w:tr w:rsidR="00C140BB" w:rsidRPr="007A3D6B" w:rsidTr="00FB2354">
        <w:trPr>
          <w:cantSplit/>
          <w:trHeight w:val="1465"/>
          <w:jc w:val="center"/>
        </w:trPr>
        <w:tc>
          <w:tcPr>
            <w:tcW w:w="1425" w:type="pct"/>
            <w:shd w:val="clear" w:color="auto" w:fill="auto"/>
          </w:tcPr>
          <w:p w:rsidR="00C140BB" w:rsidRPr="0043371F" w:rsidRDefault="00C140BB" w:rsidP="00FB23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rPr>
                <w:sz w:val="20"/>
              </w:rPr>
            </w:pPr>
            <w:r w:rsidRPr="0043371F">
              <w:rPr>
                <w:b/>
                <w:sz w:val="20"/>
              </w:rPr>
              <w:t>Zrównoważony rozwój rynku lotniczego</w:t>
            </w:r>
          </w:p>
        </w:tc>
        <w:tc>
          <w:tcPr>
            <w:tcW w:w="1533" w:type="pct"/>
            <w:shd w:val="clear" w:color="auto" w:fill="auto"/>
          </w:tcPr>
          <w:p w:rsidR="00C140BB" w:rsidRPr="009E08C3" w:rsidRDefault="00C140BB" w:rsidP="00FB235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contextualSpacing/>
              <w:rPr>
                <w:sz w:val="20"/>
              </w:rPr>
            </w:pPr>
            <w:r w:rsidRPr="0043371F">
              <w:rPr>
                <w:sz w:val="20"/>
              </w:rPr>
              <w:t>Liczba połączeń w ruchu regularnym w letnim sezonie rozkładowym do/z polskich portów lotniczych (połączenia krajowe liczone tylko raz)</w:t>
            </w:r>
          </w:p>
        </w:tc>
        <w:tc>
          <w:tcPr>
            <w:tcW w:w="1068" w:type="pct"/>
            <w:vAlign w:val="center"/>
          </w:tcPr>
          <w:p w:rsidR="00C140BB" w:rsidRPr="0043371F" w:rsidRDefault="00C140BB" w:rsidP="00FB235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974" w:type="pct"/>
            <w:shd w:val="clear" w:color="auto" w:fill="auto"/>
            <w:vAlign w:val="center"/>
          </w:tcPr>
          <w:p w:rsidR="00C140BB" w:rsidRPr="0043371F" w:rsidRDefault="00C140BB" w:rsidP="00FB235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0"/>
              </w:rPr>
            </w:pPr>
            <w:r w:rsidRPr="0043371F">
              <w:rPr>
                <w:sz w:val="20"/>
              </w:rPr>
              <w:t>605</w:t>
            </w:r>
          </w:p>
        </w:tc>
      </w:tr>
      <w:tr w:rsidR="00C140BB" w:rsidRPr="007A3D6B" w:rsidTr="00FB2354">
        <w:trPr>
          <w:cantSplit/>
          <w:trHeight w:val="2047"/>
          <w:jc w:val="center"/>
        </w:trPr>
        <w:tc>
          <w:tcPr>
            <w:tcW w:w="1425" w:type="pct"/>
            <w:vMerge w:val="restart"/>
            <w:shd w:val="clear" w:color="auto" w:fill="auto"/>
          </w:tcPr>
          <w:p w:rsidR="00C140BB" w:rsidRPr="0043371F" w:rsidRDefault="00C140BB" w:rsidP="00FB235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contextualSpacing/>
              <w:rPr>
                <w:b/>
                <w:sz w:val="20"/>
              </w:rPr>
            </w:pPr>
            <w:r w:rsidRPr="0043371F">
              <w:rPr>
                <w:b/>
                <w:sz w:val="20"/>
              </w:rPr>
              <w:lastRenderedPageBreak/>
              <w:t>Wysoka sprawność działania Urzędu</w:t>
            </w:r>
          </w:p>
        </w:tc>
        <w:tc>
          <w:tcPr>
            <w:tcW w:w="1533" w:type="pct"/>
            <w:shd w:val="clear" w:color="auto" w:fill="auto"/>
          </w:tcPr>
          <w:p w:rsidR="00C140BB" w:rsidRPr="009E08C3" w:rsidRDefault="00C140BB" w:rsidP="00FB235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sz w:val="20"/>
              </w:rPr>
            </w:pPr>
            <w:r w:rsidRPr="0043371F">
              <w:rPr>
                <w:sz w:val="20"/>
              </w:rPr>
              <w:t>Liczba decyzji administracyjnych, zakwestionowanych oraz zakończonych negatywnym dla ULC, prawomocnym wyrokiem przez sąd ostatniej instancji, w stosunku do liczby wszystkich decyzji wydanych przez Prezesa Urzędu (%)</w:t>
            </w:r>
          </w:p>
        </w:tc>
        <w:tc>
          <w:tcPr>
            <w:tcW w:w="1068" w:type="pct"/>
            <w:vAlign w:val="center"/>
          </w:tcPr>
          <w:p w:rsidR="00C140BB" w:rsidRPr="009E08C3" w:rsidRDefault="00C140BB" w:rsidP="00FB235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0"/>
              </w:rPr>
            </w:pPr>
            <w:r w:rsidRPr="009E08C3">
              <w:rPr>
                <w:sz w:val="20"/>
              </w:rPr>
              <w:t>nie więcej niż 0,1%</w:t>
            </w:r>
          </w:p>
        </w:tc>
        <w:tc>
          <w:tcPr>
            <w:tcW w:w="974" w:type="pct"/>
            <w:shd w:val="clear" w:color="auto" w:fill="FFFFFF"/>
            <w:vAlign w:val="center"/>
          </w:tcPr>
          <w:p w:rsidR="00C140BB" w:rsidRPr="0043371F" w:rsidRDefault="00C140BB" w:rsidP="00FB235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0"/>
              </w:rPr>
            </w:pPr>
            <w:r w:rsidRPr="0043371F">
              <w:rPr>
                <w:sz w:val="20"/>
              </w:rPr>
              <w:t>0,0001</w:t>
            </w:r>
            <w:r>
              <w:rPr>
                <w:sz w:val="20"/>
              </w:rPr>
              <w:t>%</w:t>
            </w:r>
          </w:p>
        </w:tc>
      </w:tr>
      <w:tr w:rsidR="00C140BB" w:rsidRPr="007A3D6B" w:rsidTr="00FB2354">
        <w:trPr>
          <w:cantSplit/>
          <w:trHeight w:val="1185"/>
          <w:jc w:val="center"/>
        </w:trPr>
        <w:tc>
          <w:tcPr>
            <w:tcW w:w="1425" w:type="pct"/>
            <w:vMerge/>
            <w:shd w:val="clear" w:color="auto" w:fill="auto"/>
          </w:tcPr>
          <w:p w:rsidR="00C140BB" w:rsidRPr="007A3D6B" w:rsidRDefault="00C140BB" w:rsidP="00FB2354">
            <w:pPr>
              <w:spacing w:before="100" w:beforeAutospacing="1" w:after="100" w:afterAutospacing="1" w:line="240" w:lineRule="auto"/>
              <w:contextualSpacing/>
              <w:rPr>
                <w:b/>
              </w:rPr>
            </w:pPr>
          </w:p>
        </w:tc>
        <w:tc>
          <w:tcPr>
            <w:tcW w:w="1533" w:type="pct"/>
            <w:tcBorders>
              <w:bottom w:val="dashed" w:sz="4" w:space="0" w:color="auto"/>
            </w:tcBorders>
            <w:shd w:val="clear" w:color="auto" w:fill="auto"/>
          </w:tcPr>
          <w:p w:rsidR="00C140BB" w:rsidRPr="009E08C3" w:rsidRDefault="00C140BB" w:rsidP="00FB235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contextualSpacing/>
              <w:rPr>
                <w:sz w:val="20"/>
              </w:rPr>
            </w:pPr>
            <w:r w:rsidRPr="0043371F">
              <w:rPr>
                <w:sz w:val="20"/>
              </w:rPr>
              <w:t>Poziom satysfakcji klienta Urzędu – wyniki ankiety</w:t>
            </w:r>
            <w:r>
              <w:rPr>
                <w:sz w:val="20"/>
              </w:rPr>
              <w:t xml:space="preserve"> dotyczącej działalności ULC (z wyłączeniem działalności szkoleniowej)</w:t>
            </w:r>
            <w:r w:rsidRPr="0043371F">
              <w:rPr>
                <w:sz w:val="20"/>
              </w:rPr>
              <w:t xml:space="preserve"> (%)</w:t>
            </w:r>
          </w:p>
        </w:tc>
        <w:tc>
          <w:tcPr>
            <w:tcW w:w="1068" w:type="pct"/>
            <w:tcBorders>
              <w:bottom w:val="dashed" w:sz="4" w:space="0" w:color="auto"/>
              <w:tl2br w:val="nil"/>
            </w:tcBorders>
            <w:vAlign w:val="center"/>
          </w:tcPr>
          <w:p w:rsidR="00C140BB" w:rsidRPr="009E08C3" w:rsidRDefault="00C140BB" w:rsidP="00FB235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18"/>
                <w:szCs w:val="18"/>
              </w:rPr>
            </w:pPr>
            <w:r w:rsidRPr="009E08C3">
              <w:rPr>
                <w:sz w:val="20"/>
              </w:rPr>
              <w:t>nie mniej niż 55%</w:t>
            </w:r>
          </w:p>
        </w:tc>
        <w:tc>
          <w:tcPr>
            <w:tcW w:w="974" w:type="pct"/>
            <w:tcBorders>
              <w:bottom w:val="dashed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C140BB" w:rsidRPr="007A3D6B" w:rsidRDefault="00C140BB" w:rsidP="00FB2354">
            <w:pPr>
              <w:spacing w:before="100" w:beforeAutospacing="1" w:after="100" w:afterAutospacing="1" w:line="240" w:lineRule="auto"/>
              <w:contextualSpacing/>
              <w:jc w:val="center"/>
            </w:pPr>
            <w:r w:rsidRPr="0043371F">
              <w:rPr>
                <w:sz w:val="20"/>
              </w:rPr>
              <w:t>58,53</w:t>
            </w:r>
            <w:r>
              <w:rPr>
                <w:sz w:val="20"/>
              </w:rPr>
              <w:t>%</w:t>
            </w:r>
          </w:p>
        </w:tc>
      </w:tr>
      <w:tr w:rsidR="00C140BB" w:rsidRPr="007A3D6B" w:rsidTr="00FB2354">
        <w:trPr>
          <w:cantSplit/>
          <w:trHeight w:val="997"/>
          <w:jc w:val="center"/>
        </w:trPr>
        <w:tc>
          <w:tcPr>
            <w:tcW w:w="1425" w:type="pct"/>
            <w:vMerge/>
            <w:shd w:val="clear" w:color="auto" w:fill="auto"/>
          </w:tcPr>
          <w:p w:rsidR="00C140BB" w:rsidRPr="007A3D6B" w:rsidRDefault="00C140BB" w:rsidP="00FB2354">
            <w:pPr>
              <w:spacing w:before="100" w:beforeAutospacing="1" w:after="100" w:afterAutospacing="1" w:line="240" w:lineRule="auto"/>
              <w:contextualSpacing/>
              <w:rPr>
                <w:b/>
              </w:rPr>
            </w:pPr>
          </w:p>
        </w:tc>
        <w:tc>
          <w:tcPr>
            <w:tcW w:w="1533" w:type="pct"/>
            <w:tcBorders>
              <w:top w:val="dashed" w:sz="4" w:space="0" w:color="auto"/>
            </w:tcBorders>
            <w:shd w:val="clear" w:color="auto" w:fill="auto"/>
          </w:tcPr>
          <w:p w:rsidR="00C140BB" w:rsidRPr="0043371F" w:rsidRDefault="00C140BB" w:rsidP="00FB2354">
            <w:pPr>
              <w:spacing w:before="100" w:beforeAutospacing="1" w:after="100" w:afterAutospacing="1" w:line="240" w:lineRule="auto"/>
              <w:ind w:left="330"/>
              <w:contextualSpacing/>
              <w:rPr>
                <w:sz w:val="20"/>
              </w:rPr>
            </w:pPr>
            <w:r w:rsidRPr="0043371F">
              <w:rPr>
                <w:sz w:val="20"/>
              </w:rPr>
              <w:t>Poziom satysfakcji klienta Urzędu – wyniki ankiety</w:t>
            </w:r>
            <w:r>
              <w:rPr>
                <w:sz w:val="20"/>
              </w:rPr>
              <w:t xml:space="preserve"> dotyczącej działalności szkoleniowej ULC</w:t>
            </w:r>
            <w:r w:rsidRPr="0043371F">
              <w:rPr>
                <w:sz w:val="20"/>
              </w:rPr>
              <w:t xml:space="preserve"> (%)</w:t>
            </w:r>
          </w:p>
        </w:tc>
        <w:tc>
          <w:tcPr>
            <w:tcW w:w="1068" w:type="pct"/>
            <w:tcBorders>
              <w:top w:val="dashed" w:sz="4" w:space="0" w:color="auto"/>
              <w:tl2br w:val="nil"/>
            </w:tcBorders>
            <w:vAlign w:val="center"/>
          </w:tcPr>
          <w:p w:rsidR="00C140BB" w:rsidRPr="009E08C3" w:rsidRDefault="00C140BB" w:rsidP="00FB235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0"/>
              </w:rPr>
            </w:pPr>
            <w:r w:rsidRPr="009E08C3">
              <w:rPr>
                <w:sz w:val="20"/>
              </w:rPr>
              <w:t>nie mniej niż 80%</w:t>
            </w:r>
          </w:p>
        </w:tc>
        <w:tc>
          <w:tcPr>
            <w:tcW w:w="974" w:type="pct"/>
            <w:tcBorders>
              <w:top w:val="dashed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:rsidR="00C140BB" w:rsidRPr="0043371F" w:rsidRDefault="00C140BB" w:rsidP="00FB235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0"/>
              </w:rPr>
            </w:pPr>
            <w:r w:rsidRPr="0043371F">
              <w:rPr>
                <w:sz w:val="20"/>
              </w:rPr>
              <w:t>84,6</w:t>
            </w:r>
            <w:r>
              <w:rPr>
                <w:sz w:val="20"/>
              </w:rPr>
              <w:t>%</w:t>
            </w:r>
          </w:p>
        </w:tc>
      </w:tr>
    </w:tbl>
    <w:p w:rsidR="00C140BB" w:rsidRDefault="00C140BB" w:rsidP="003E288C">
      <w:pPr>
        <w:ind w:firstLine="567"/>
        <w:jc w:val="both"/>
      </w:pPr>
    </w:p>
    <w:p w:rsidR="003E288C" w:rsidRDefault="003E288C" w:rsidP="003E288C">
      <w:pPr>
        <w:ind w:firstLine="567"/>
        <w:jc w:val="both"/>
      </w:pPr>
      <w:r>
        <w:t>Poniżej przedstawiono wykaz zadań projektowych ukończonych w latach 2015</w:t>
      </w:r>
      <w:r>
        <w:sym w:font="Symbol" w:char="F02D"/>
      </w:r>
      <w:r>
        <w:t>2019 w ramach realizacji Planu strategicznego ULC:</w:t>
      </w:r>
    </w:p>
    <w:p w:rsidR="0043371F" w:rsidRDefault="0043371F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26"/>
        <w:gridCol w:w="3402"/>
        <w:gridCol w:w="4360"/>
      </w:tblGrid>
      <w:tr w:rsidR="003E288C" w:rsidTr="00AD5D6A">
        <w:trPr>
          <w:tblHeader/>
        </w:trPr>
        <w:tc>
          <w:tcPr>
            <w:tcW w:w="821" w:type="pct"/>
            <w:shd w:val="clear" w:color="auto" w:fill="8DB3E2" w:themeFill="text2" w:themeFillTint="66"/>
            <w:vAlign w:val="center"/>
          </w:tcPr>
          <w:p w:rsidR="003E288C" w:rsidRPr="009B1CFE" w:rsidRDefault="003E288C" w:rsidP="00AD5D6A">
            <w:pPr>
              <w:jc w:val="center"/>
              <w:rPr>
                <w:b/>
              </w:rPr>
            </w:pPr>
            <w:r w:rsidRPr="009B1CFE">
              <w:rPr>
                <w:b/>
              </w:rPr>
              <w:t>Cel strategiczny</w:t>
            </w:r>
          </w:p>
        </w:tc>
        <w:tc>
          <w:tcPr>
            <w:tcW w:w="1831" w:type="pct"/>
            <w:shd w:val="clear" w:color="auto" w:fill="8DB3E2" w:themeFill="text2" w:themeFillTint="66"/>
            <w:vAlign w:val="center"/>
          </w:tcPr>
          <w:p w:rsidR="003E288C" w:rsidRPr="009B1CFE" w:rsidRDefault="003E288C" w:rsidP="00AD5D6A">
            <w:pPr>
              <w:jc w:val="center"/>
              <w:rPr>
                <w:b/>
              </w:rPr>
            </w:pPr>
            <w:r w:rsidRPr="009B1CFE">
              <w:rPr>
                <w:b/>
              </w:rPr>
              <w:t>Cel operacyjny</w:t>
            </w:r>
          </w:p>
        </w:tc>
        <w:tc>
          <w:tcPr>
            <w:tcW w:w="2347" w:type="pct"/>
            <w:shd w:val="clear" w:color="auto" w:fill="8DB3E2" w:themeFill="text2" w:themeFillTint="66"/>
            <w:vAlign w:val="center"/>
          </w:tcPr>
          <w:p w:rsidR="003E288C" w:rsidRPr="009B1CFE" w:rsidRDefault="003E288C" w:rsidP="00AD5D6A">
            <w:pPr>
              <w:jc w:val="center"/>
              <w:rPr>
                <w:b/>
              </w:rPr>
            </w:pPr>
            <w:r w:rsidRPr="009B1CFE">
              <w:rPr>
                <w:b/>
              </w:rPr>
              <w:t>Zadanie realizacyjne wykonane</w:t>
            </w:r>
          </w:p>
        </w:tc>
      </w:tr>
      <w:tr w:rsidR="003E288C" w:rsidTr="00AD5D6A">
        <w:tc>
          <w:tcPr>
            <w:tcW w:w="821" w:type="pct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3E288C" w:rsidRPr="00635B3B" w:rsidRDefault="003E288C" w:rsidP="00AD5D6A">
            <w:pPr>
              <w:ind w:left="113" w:right="113"/>
              <w:jc w:val="center"/>
              <w:rPr>
                <w:b/>
              </w:rPr>
            </w:pPr>
            <w:r w:rsidRPr="00635B3B">
              <w:rPr>
                <w:b/>
              </w:rPr>
              <w:t>1. Skuteczny nadzór nad bezpieczeństwem w lotnictwie cywilnym</w:t>
            </w:r>
          </w:p>
        </w:tc>
        <w:tc>
          <w:tcPr>
            <w:tcW w:w="1831" w:type="pct"/>
          </w:tcPr>
          <w:p w:rsidR="003E288C" w:rsidRPr="00635B3B" w:rsidRDefault="003E288C" w:rsidP="00AD5D6A">
            <w:pPr>
              <w:rPr>
                <w:sz w:val="20"/>
              </w:rPr>
            </w:pPr>
            <w:r w:rsidRPr="00D65AF8">
              <w:rPr>
                <w:sz w:val="20"/>
              </w:rPr>
              <w:t>1.1. Spełnianie przez podmioty rynku lotniczego wymagań z zakresu bezpieczeństwa (w tym ochrony środowiska) adekwatnych do rodzaju i skali działania</w:t>
            </w:r>
          </w:p>
        </w:tc>
        <w:tc>
          <w:tcPr>
            <w:tcW w:w="2347" w:type="pct"/>
          </w:tcPr>
          <w:p w:rsidR="003E288C" w:rsidRDefault="003E288C" w:rsidP="00AD5D6A">
            <w:pPr>
              <w:rPr>
                <w:sz w:val="20"/>
              </w:rPr>
            </w:pPr>
            <w:r w:rsidRPr="00D65AF8">
              <w:rPr>
                <w:sz w:val="20"/>
              </w:rPr>
              <w:t>1.1.1. Stworzenie metodyki opracowywania „profilu ryzyka” nadzorowanych podmiotów [w zakresie operacyjno-lotniczym i żeglugi powietrznej].</w:t>
            </w:r>
          </w:p>
          <w:p w:rsidR="003E288C" w:rsidRDefault="003E288C" w:rsidP="00AD5D6A">
            <w:pPr>
              <w:rPr>
                <w:sz w:val="20"/>
              </w:rPr>
            </w:pPr>
            <w:r>
              <w:rPr>
                <w:sz w:val="20"/>
              </w:rPr>
              <w:t xml:space="preserve">1.1.3. </w:t>
            </w:r>
            <w:r>
              <w:rPr>
                <w:rFonts w:ascii="Calibri" w:hAnsi="Calibri" w:cs="Calibri"/>
                <w:sz w:val="20"/>
                <w:szCs w:val="20"/>
              </w:rPr>
              <w:t>Opracowanie pakietu wytycznych dotyczących koncesjonowania i nadzoru bieżącego.</w:t>
            </w:r>
          </w:p>
          <w:p w:rsidR="003E288C" w:rsidRDefault="003E288C" w:rsidP="00AD5D6A">
            <w:pPr>
              <w:rPr>
                <w:sz w:val="20"/>
              </w:rPr>
            </w:pPr>
            <w:r>
              <w:rPr>
                <w:sz w:val="20"/>
              </w:rPr>
              <w:t xml:space="preserve">1.1.4. </w:t>
            </w:r>
            <w:r w:rsidRPr="00455B28">
              <w:rPr>
                <w:sz w:val="20"/>
              </w:rPr>
              <w:t>Wdrożenie programu nadzoru nad obcymi statkami powietrznymi lotnictwa ogólnego</w:t>
            </w:r>
            <w:r>
              <w:rPr>
                <w:sz w:val="20"/>
              </w:rPr>
              <w:t>.</w:t>
            </w:r>
          </w:p>
        </w:tc>
      </w:tr>
      <w:tr w:rsidR="003E288C" w:rsidTr="00AD5D6A">
        <w:tc>
          <w:tcPr>
            <w:tcW w:w="821" w:type="pct"/>
            <w:vMerge/>
            <w:shd w:val="clear" w:color="auto" w:fill="C6D9F1" w:themeFill="text2" w:themeFillTint="33"/>
            <w:textDirection w:val="btLr"/>
            <w:vAlign w:val="center"/>
          </w:tcPr>
          <w:p w:rsidR="003E288C" w:rsidRPr="00635B3B" w:rsidRDefault="003E288C" w:rsidP="00AD5D6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31" w:type="pct"/>
          </w:tcPr>
          <w:p w:rsidR="003E288C" w:rsidRPr="00081EEC" w:rsidRDefault="003E288C" w:rsidP="00AD5D6A">
            <w:pPr>
              <w:rPr>
                <w:sz w:val="20"/>
              </w:rPr>
            </w:pPr>
            <w:r w:rsidRPr="00635B3B">
              <w:rPr>
                <w:sz w:val="20"/>
              </w:rPr>
              <w:t>1.2. Wdrożony Krajowy Program Bezpieczeństwa w Lotnictwie Cywilnym</w:t>
            </w:r>
          </w:p>
        </w:tc>
        <w:tc>
          <w:tcPr>
            <w:tcW w:w="2347" w:type="pct"/>
          </w:tcPr>
          <w:p w:rsidR="003E288C" w:rsidRPr="00081EEC" w:rsidRDefault="003E288C" w:rsidP="00AD5D6A">
            <w:pPr>
              <w:rPr>
                <w:sz w:val="20"/>
              </w:rPr>
            </w:pPr>
            <w:r>
              <w:rPr>
                <w:sz w:val="20"/>
              </w:rPr>
              <w:t xml:space="preserve">1.2.1. </w:t>
            </w:r>
            <w:r w:rsidRPr="00D34C34">
              <w:rPr>
                <w:sz w:val="20"/>
              </w:rPr>
              <w:t>Opracowanie projektu Krajowego Programu Bezpieczeństwa w Lotnictwie Cywilnym w zakresie kompetencji Urzędu</w:t>
            </w:r>
            <w:r>
              <w:rPr>
                <w:sz w:val="20"/>
              </w:rPr>
              <w:t>.</w:t>
            </w:r>
          </w:p>
        </w:tc>
      </w:tr>
      <w:tr w:rsidR="003E288C" w:rsidTr="00AD5D6A">
        <w:trPr>
          <w:trHeight w:val="1710"/>
        </w:trPr>
        <w:tc>
          <w:tcPr>
            <w:tcW w:w="821" w:type="pct"/>
            <w:vMerge/>
            <w:shd w:val="clear" w:color="auto" w:fill="C6D9F1" w:themeFill="text2" w:themeFillTint="33"/>
            <w:textDirection w:val="btLr"/>
            <w:vAlign w:val="center"/>
          </w:tcPr>
          <w:p w:rsidR="003E288C" w:rsidRPr="00635B3B" w:rsidRDefault="003E288C" w:rsidP="00AD5D6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31" w:type="pct"/>
            <w:vMerge w:val="restart"/>
          </w:tcPr>
          <w:p w:rsidR="003E288C" w:rsidRPr="00081EEC" w:rsidRDefault="003E288C" w:rsidP="00AD5D6A">
            <w:pPr>
              <w:rPr>
                <w:sz w:val="20"/>
              </w:rPr>
            </w:pPr>
            <w:r w:rsidRPr="00635B3B">
              <w:rPr>
                <w:sz w:val="20"/>
              </w:rPr>
              <w:t>1.4. Skuteczne i szybkie reagowanie na zagrożenia bezpieczeństwa w lotnictwie cywilnym</w:t>
            </w:r>
          </w:p>
        </w:tc>
        <w:tc>
          <w:tcPr>
            <w:tcW w:w="2347" w:type="pct"/>
          </w:tcPr>
          <w:p w:rsidR="003E288C" w:rsidRPr="00081EEC" w:rsidRDefault="003E288C" w:rsidP="00AD5D6A">
            <w:pPr>
              <w:rPr>
                <w:sz w:val="20"/>
              </w:rPr>
            </w:pPr>
            <w:r>
              <w:rPr>
                <w:sz w:val="20"/>
              </w:rPr>
              <w:t xml:space="preserve">1.4.1. </w:t>
            </w:r>
            <w:r w:rsidRPr="00D34C34">
              <w:rPr>
                <w:sz w:val="20"/>
              </w:rPr>
              <w:t>Zainicjowanie zmiany przepisów krajowych umożliwiających skuteczne i szybkie reagowanie na zagrożenia bezpieczeństwa w lotnictwie cywilnym</w:t>
            </w:r>
            <w:r>
              <w:rPr>
                <w:sz w:val="20"/>
              </w:rPr>
              <w:t xml:space="preserve"> [w zakresie zarządzania bezpieczeństwem w lotnictwie cywilnym, </w:t>
            </w:r>
            <w:r w:rsidRPr="00D65AF8">
              <w:rPr>
                <w:sz w:val="20"/>
              </w:rPr>
              <w:t>operacyjno-lotniczym, techniki lotniczej, żeglugi powietrznej i lotnisk</w:t>
            </w:r>
            <w:r>
              <w:rPr>
                <w:sz w:val="20"/>
              </w:rPr>
              <w:t>].</w:t>
            </w:r>
          </w:p>
        </w:tc>
      </w:tr>
      <w:tr w:rsidR="003E288C" w:rsidTr="00AD5D6A">
        <w:trPr>
          <w:trHeight w:val="1215"/>
        </w:trPr>
        <w:tc>
          <w:tcPr>
            <w:tcW w:w="821" w:type="pct"/>
            <w:vMerge/>
            <w:shd w:val="clear" w:color="auto" w:fill="C6D9F1" w:themeFill="text2" w:themeFillTint="33"/>
            <w:textDirection w:val="btLr"/>
            <w:vAlign w:val="center"/>
          </w:tcPr>
          <w:p w:rsidR="003E288C" w:rsidRPr="00635B3B" w:rsidRDefault="003E288C" w:rsidP="00AD5D6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31" w:type="pct"/>
            <w:vMerge/>
          </w:tcPr>
          <w:p w:rsidR="003E288C" w:rsidRPr="00635B3B" w:rsidRDefault="003E288C" w:rsidP="00AD5D6A">
            <w:pPr>
              <w:rPr>
                <w:sz w:val="20"/>
              </w:rPr>
            </w:pPr>
          </w:p>
        </w:tc>
        <w:tc>
          <w:tcPr>
            <w:tcW w:w="2347" w:type="pct"/>
          </w:tcPr>
          <w:p w:rsidR="003E288C" w:rsidRDefault="003E288C" w:rsidP="00AD5D6A">
            <w:pPr>
              <w:rPr>
                <w:sz w:val="20"/>
              </w:rPr>
            </w:pPr>
            <w:r>
              <w:rPr>
                <w:sz w:val="20"/>
              </w:rPr>
              <w:t xml:space="preserve">1.4.2. </w:t>
            </w:r>
            <w:r w:rsidRPr="00D34C34">
              <w:rPr>
                <w:sz w:val="20"/>
              </w:rPr>
              <w:t>Wdrożenie do przepisów krajowych skutecznego systemu sankcji z tytułu naruszania przepisów lotnictwa cywilnego</w:t>
            </w:r>
            <w:r>
              <w:rPr>
                <w:sz w:val="20"/>
              </w:rPr>
              <w:t xml:space="preserve"> [w zakresie rynku transportu lotniczego, operacyjno-lotniczym,</w:t>
            </w:r>
            <w:r w:rsidRPr="00D65AF8">
              <w:rPr>
                <w:sz w:val="20"/>
              </w:rPr>
              <w:t xml:space="preserve"> lotnisk</w:t>
            </w:r>
            <w:r>
              <w:rPr>
                <w:sz w:val="20"/>
              </w:rPr>
              <w:t xml:space="preserve"> i personelu lotniczego].</w:t>
            </w:r>
          </w:p>
        </w:tc>
      </w:tr>
      <w:tr w:rsidR="003E288C" w:rsidTr="00AD5D6A">
        <w:tc>
          <w:tcPr>
            <w:tcW w:w="821" w:type="pct"/>
            <w:vMerge/>
            <w:shd w:val="clear" w:color="auto" w:fill="C6D9F1" w:themeFill="text2" w:themeFillTint="33"/>
            <w:textDirection w:val="btLr"/>
            <w:vAlign w:val="center"/>
          </w:tcPr>
          <w:p w:rsidR="003E288C" w:rsidRPr="00635B3B" w:rsidRDefault="003E288C" w:rsidP="00AD5D6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31" w:type="pct"/>
          </w:tcPr>
          <w:p w:rsidR="003E288C" w:rsidRPr="00635B3B" w:rsidRDefault="003E288C" w:rsidP="00AD5D6A">
            <w:pPr>
              <w:rPr>
                <w:sz w:val="20"/>
              </w:rPr>
            </w:pPr>
            <w:r w:rsidRPr="00D65AF8">
              <w:rPr>
                <w:sz w:val="20"/>
              </w:rPr>
              <w:t>1.5. Zwiększenie efektywności nadzoru nad bezpieczeństwem w lotnictwie cywilnym</w:t>
            </w:r>
          </w:p>
        </w:tc>
        <w:tc>
          <w:tcPr>
            <w:tcW w:w="2347" w:type="pct"/>
          </w:tcPr>
          <w:p w:rsidR="003E288C" w:rsidRDefault="003E288C" w:rsidP="00AD5D6A">
            <w:pPr>
              <w:rPr>
                <w:sz w:val="20"/>
              </w:rPr>
            </w:pPr>
            <w:r w:rsidRPr="00D65AF8">
              <w:rPr>
                <w:sz w:val="20"/>
              </w:rPr>
              <w:t>1.5.4. Formalne uregulowanie zasad współpracy między Urzędem a innymi władzami nadzorującymi w zakresie transgranicznego zapewnienia służb zarządzania ruchem lotniczym/służb żeglugi powietrznej.</w:t>
            </w:r>
          </w:p>
        </w:tc>
      </w:tr>
      <w:tr w:rsidR="003E288C" w:rsidTr="00AD5D6A">
        <w:tc>
          <w:tcPr>
            <w:tcW w:w="821" w:type="pct"/>
            <w:vMerge/>
            <w:shd w:val="clear" w:color="auto" w:fill="C6D9F1" w:themeFill="text2" w:themeFillTint="33"/>
            <w:textDirection w:val="btLr"/>
            <w:vAlign w:val="center"/>
          </w:tcPr>
          <w:p w:rsidR="003E288C" w:rsidRPr="00635B3B" w:rsidRDefault="003E288C" w:rsidP="00AD5D6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31" w:type="pct"/>
          </w:tcPr>
          <w:p w:rsidR="003E288C" w:rsidRPr="00081EEC" w:rsidRDefault="003E288C" w:rsidP="00AD5D6A">
            <w:pPr>
              <w:rPr>
                <w:sz w:val="20"/>
              </w:rPr>
            </w:pPr>
            <w:r w:rsidRPr="00635B3B">
              <w:rPr>
                <w:sz w:val="20"/>
              </w:rPr>
              <w:t>1.6. Pełna standaryzacja nadzoru w zakresie zgodności z przepisami i standardami (dwustopniowa: ICAO i EASA oraz wewnętrzna krajowa)</w:t>
            </w:r>
          </w:p>
        </w:tc>
        <w:tc>
          <w:tcPr>
            <w:tcW w:w="2347" w:type="pct"/>
          </w:tcPr>
          <w:p w:rsidR="003E288C" w:rsidRPr="00081EEC" w:rsidRDefault="003E288C" w:rsidP="00AD5D6A">
            <w:pPr>
              <w:rPr>
                <w:sz w:val="20"/>
              </w:rPr>
            </w:pPr>
            <w:r>
              <w:rPr>
                <w:sz w:val="20"/>
              </w:rPr>
              <w:t xml:space="preserve">1.6.2. </w:t>
            </w:r>
            <w:r w:rsidRPr="00D34C34">
              <w:rPr>
                <w:sz w:val="20"/>
              </w:rPr>
              <w:t>Opracowanie i wdrożenie procedury wzajemnej wymiany informacji między Urzędem a nadzorami lotniczymi innych państw</w:t>
            </w:r>
            <w:r>
              <w:rPr>
                <w:sz w:val="20"/>
              </w:rPr>
              <w:t xml:space="preserve"> [w zakresie zarządzania bezpieczeństwem w lotnictwie cywilnym, techniki lotniczej,</w:t>
            </w:r>
            <w:r w:rsidRPr="00D65AF8">
              <w:rPr>
                <w:sz w:val="20"/>
              </w:rPr>
              <w:t xml:space="preserve"> personelu lotniczego</w:t>
            </w:r>
            <w:r>
              <w:rPr>
                <w:sz w:val="20"/>
              </w:rPr>
              <w:t xml:space="preserve"> i operacyjno-lotniczym].</w:t>
            </w:r>
          </w:p>
        </w:tc>
      </w:tr>
      <w:tr w:rsidR="003E288C" w:rsidTr="00AD5D6A">
        <w:tc>
          <w:tcPr>
            <w:tcW w:w="821" w:type="pct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3E288C" w:rsidRPr="00635B3B" w:rsidRDefault="003E288C" w:rsidP="00AD5D6A">
            <w:pPr>
              <w:ind w:left="113" w:right="113"/>
              <w:jc w:val="center"/>
              <w:rPr>
                <w:b/>
              </w:rPr>
            </w:pPr>
            <w:r w:rsidRPr="00635B3B">
              <w:rPr>
                <w:b/>
              </w:rPr>
              <w:t>2. Zrównoważony rozwój rynku lotniczego</w:t>
            </w:r>
          </w:p>
        </w:tc>
        <w:tc>
          <w:tcPr>
            <w:tcW w:w="1831" w:type="pct"/>
            <w:vMerge w:val="restart"/>
          </w:tcPr>
          <w:p w:rsidR="003E288C" w:rsidRPr="00081EEC" w:rsidRDefault="003E288C" w:rsidP="00AD5D6A">
            <w:pPr>
              <w:rPr>
                <w:sz w:val="20"/>
              </w:rPr>
            </w:pPr>
            <w:r w:rsidRPr="00635B3B">
              <w:rPr>
                <w:sz w:val="20"/>
              </w:rPr>
              <w:t>2.2. Dostęp do infrastruktury lotniczej dla wszystkich użytkowników na równych i ekonomicznie uzasadnionych warunkach</w:t>
            </w:r>
          </w:p>
        </w:tc>
        <w:tc>
          <w:tcPr>
            <w:tcW w:w="2347" w:type="pct"/>
          </w:tcPr>
          <w:p w:rsidR="003E288C" w:rsidRPr="00F96D39" w:rsidRDefault="003E288C" w:rsidP="00AD5D6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</w:rPr>
              <w:t xml:space="preserve">2.2.1. </w:t>
            </w:r>
            <w:r>
              <w:rPr>
                <w:rFonts w:ascii="Calibri" w:hAnsi="Calibri" w:cs="Calibri"/>
                <w:sz w:val="20"/>
                <w:szCs w:val="20"/>
              </w:rPr>
              <w:t>Wypracowanie zasad i procedur ograniczania (na wniosek zarządzającego) liczby agentów obsługi naziemnej w portach lotniczych oraz procedur dotyczących postępowań konkursowych (przez Prezesa Urzędu albo zarządzającego).</w:t>
            </w:r>
          </w:p>
        </w:tc>
      </w:tr>
      <w:tr w:rsidR="003E288C" w:rsidTr="00AD5D6A">
        <w:tc>
          <w:tcPr>
            <w:tcW w:w="821" w:type="pct"/>
            <w:vMerge/>
            <w:shd w:val="clear" w:color="auto" w:fill="C6D9F1" w:themeFill="text2" w:themeFillTint="33"/>
            <w:textDirection w:val="btLr"/>
            <w:vAlign w:val="center"/>
          </w:tcPr>
          <w:p w:rsidR="003E288C" w:rsidRPr="00635B3B" w:rsidRDefault="003E288C" w:rsidP="00AD5D6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31" w:type="pct"/>
            <w:vMerge/>
          </w:tcPr>
          <w:p w:rsidR="003E288C" w:rsidRPr="00635B3B" w:rsidRDefault="003E288C" w:rsidP="00AD5D6A">
            <w:pPr>
              <w:rPr>
                <w:sz w:val="20"/>
              </w:rPr>
            </w:pPr>
          </w:p>
        </w:tc>
        <w:tc>
          <w:tcPr>
            <w:tcW w:w="2347" w:type="pct"/>
          </w:tcPr>
          <w:p w:rsidR="003E288C" w:rsidRDefault="003E288C" w:rsidP="00AD5D6A">
            <w:pPr>
              <w:rPr>
                <w:sz w:val="20"/>
              </w:rPr>
            </w:pPr>
            <w:r>
              <w:rPr>
                <w:sz w:val="20"/>
              </w:rPr>
              <w:t xml:space="preserve">2.2.2. </w:t>
            </w:r>
            <w:r w:rsidRPr="00D34C34">
              <w:rPr>
                <w:sz w:val="20"/>
              </w:rPr>
              <w:t>Wypracowanie na poziomie Bałtyckiego FAB-u sposobów monitorowania skuteczności działania służb żeglugi powietrznej</w:t>
            </w:r>
            <w:r>
              <w:rPr>
                <w:sz w:val="20"/>
              </w:rPr>
              <w:t>.</w:t>
            </w:r>
          </w:p>
        </w:tc>
      </w:tr>
      <w:tr w:rsidR="003E288C" w:rsidTr="00AD5D6A">
        <w:tc>
          <w:tcPr>
            <w:tcW w:w="821" w:type="pct"/>
            <w:vMerge/>
            <w:shd w:val="clear" w:color="auto" w:fill="C6D9F1" w:themeFill="text2" w:themeFillTint="33"/>
            <w:textDirection w:val="btLr"/>
            <w:vAlign w:val="center"/>
          </w:tcPr>
          <w:p w:rsidR="003E288C" w:rsidRPr="00635B3B" w:rsidRDefault="003E288C" w:rsidP="00AD5D6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31" w:type="pct"/>
            <w:vMerge/>
          </w:tcPr>
          <w:p w:rsidR="003E288C" w:rsidRPr="00635B3B" w:rsidRDefault="003E288C" w:rsidP="00AD5D6A">
            <w:pPr>
              <w:rPr>
                <w:sz w:val="20"/>
              </w:rPr>
            </w:pPr>
          </w:p>
        </w:tc>
        <w:tc>
          <w:tcPr>
            <w:tcW w:w="2347" w:type="pct"/>
          </w:tcPr>
          <w:p w:rsidR="003E288C" w:rsidRPr="00F96D39" w:rsidRDefault="003E288C" w:rsidP="00AD5D6A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</w:rPr>
              <w:t xml:space="preserve">2.2.3. </w:t>
            </w:r>
            <w:r>
              <w:rPr>
                <w:rFonts w:ascii="Calibri" w:hAnsi="Calibri" w:cs="Calibri"/>
                <w:sz w:val="20"/>
                <w:szCs w:val="20"/>
              </w:rPr>
              <w:t>Rewizja Planu skuteczności działania (PSD) służb żeglugi powietrznej dla Bałtyckiego FAB na drugi okres odniesienia (2015-2019).</w:t>
            </w:r>
          </w:p>
        </w:tc>
      </w:tr>
      <w:tr w:rsidR="003E288C" w:rsidTr="00AD5D6A">
        <w:tc>
          <w:tcPr>
            <w:tcW w:w="821" w:type="pct"/>
            <w:vMerge/>
            <w:shd w:val="clear" w:color="auto" w:fill="C6D9F1" w:themeFill="text2" w:themeFillTint="33"/>
            <w:textDirection w:val="btLr"/>
            <w:vAlign w:val="center"/>
          </w:tcPr>
          <w:p w:rsidR="003E288C" w:rsidRPr="00635B3B" w:rsidRDefault="003E288C" w:rsidP="00AD5D6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31" w:type="pct"/>
            <w:vMerge/>
          </w:tcPr>
          <w:p w:rsidR="003E288C" w:rsidRPr="00635B3B" w:rsidRDefault="003E288C" w:rsidP="00AD5D6A">
            <w:pPr>
              <w:rPr>
                <w:sz w:val="20"/>
              </w:rPr>
            </w:pPr>
          </w:p>
        </w:tc>
        <w:tc>
          <w:tcPr>
            <w:tcW w:w="2347" w:type="pct"/>
          </w:tcPr>
          <w:p w:rsidR="003E288C" w:rsidRDefault="003E288C" w:rsidP="00AD5D6A">
            <w:pPr>
              <w:rPr>
                <w:sz w:val="20"/>
              </w:rPr>
            </w:pPr>
            <w:r>
              <w:rPr>
                <w:sz w:val="20"/>
              </w:rPr>
              <w:t xml:space="preserve">2.2.4. </w:t>
            </w:r>
            <w:r w:rsidRPr="005C6EDB">
              <w:rPr>
                <w:sz w:val="20"/>
              </w:rPr>
              <w:t>Opracowanie – we współpracy z interesariuszami – Planu skuteczności działania służb żeglugi powietrznej na trzeci okres odniesienia (2020–2024)</w:t>
            </w:r>
            <w:r>
              <w:rPr>
                <w:sz w:val="20"/>
              </w:rPr>
              <w:t>.</w:t>
            </w:r>
          </w:p>
        </w:tc>
      </w:tr>
      <w:tr w:rsidR="003E288C" w:rsidTr="00AD5D6A">
        <w:trPr>
          <w:trHeight w:val="1548"/>
        </w:trPr>
        <w:tc>
          <w:tcPr>
            <w:tcW w:w="821" w:type="pct"/>
            <w:vMerge/>
            <w:shd w:val="clear" w:color="auto" w:fill="C6D9F1" w:themeFill="text2" w:themeFillTint="33"/>
            <w:textDirection w:val="btLr"/>
            <w:vAlign w:val="center"/>
          </w:tcPr>
          <w:p w:rsidR="003E288C" w:rsidRPr="00635B3B" w:rsidRDefault="003E288C" w:rsidP="00AD5D6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31" w:type="pct"/>
          </w:tcPr>
          <w:p w:rsidR="003E288C" w:rsidRPr="00081EEC" w:rsidRDefault="003E288C" w:rsidP="00AD5D6A">
            <w:pPr>
              <w:rPr>
                <w:sz w:val="20"/>
              </w:rPr>
            </w:pPr>
            <w:r w:rsidRPr="00635B3B">
              <w:rPr>
                <w:sz w:val="20"/>
              </w:rPr>
              <w:t>2.3. Ograniczenie nieadekwatnych wymagań w stosunku do podmiotów lotniczych</w:t>
            </w:r>
          </w:p>
        </w:tc>
        <w:tc>
          <w:tcPr>
            <w:tcW w:w="2347" w:type="pct"/>
          </w:tcPr>
          <w:p w:rsidR="003E288C" w:rsidRPr="00081EEC" w:rsidRDefault="003E288C" w:rsidP="00AD5D6A">
            <w:pPr>
              <w:rPr>
                <w:sz w:val="20"/>
              </w:rPr>
            </w:pPr>
            <w:r w:rsidRPr="00D65AF8">
              <w:rPr>
                <w:sz w:val="20"/>
              </w:rPr>
              <w:t>2.3.2. Podejmowanie działań na rzecz dostosowania wymagań do rodzajów i skali działalności podmiotów lotniczych [w zakresie zarządzania bezpieczeństwem w lotnictwie cywilnym, personelu lotniczego, techniki lotniczej, operacyjno-lotniczym i lotnisk].</w:t>
            </w:r>
          </w:p>
        </w:tc>
      </w:tr>
      <w:tr w:rsidR="003E288C" w:rsidTr="00AD5D6A">
        <w:tc>
          <w:tcPr>
            <w:tcW w:w="821" w:type="pct"/>
            <w:vMerge/>
            <w:shd w:val="clear" w:color="auto" w:fill="C6D9F1" w:themeFill="text2" w:themeFillTint="33"/>
            <w:textDirection w:val="btLr"/>
            <w:vAlign w:val="center"/>
          </w:tcPr>
          <w:p w:rsidR="003E288C" w:rsidRPr="00635B3B" w:rsidRDefault="003E288C" w:rsidP="00AD5D6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31" w:type="pct"/>
          </w:tcPr>
          <w:p w:rsidR="003E288C" w:rsidRPr="00635B3B" w:rsidRDefault="003E288C" w:rsidP="00AD5D6A">
            <w:pPr>
              <w:rPr>
                <w:sz w:val="20"/>
              </w:rPr>
            </w:pPr>
            <w:r>
              <w:rPr>
                <w:sz w:val="20"/>
              </w:rPr>
              <w:t>2.4. Ochrona praw pasażerów</w:t>
            </w:r>
          </w:p>
        </w:tc>
        <w:tc>
          <w:tcPr>
            <w:tcW w:w="2347" w:type="pct"/>
          </w:tcPr>
          <w:p w:rsidR="003E288C" w:rsidRPr="00D65AF8" w:rsidRDefault="003E288C" w:rsidP="00AD5D6A">
            <w:pPr>
              <w:rPr>
                <w:sz w:val="20"/>
              </w:rPr>
            </w:pPr>
            <w:r>
              <w:rPr>
                <w:sz w:val="20"/>
              </w:rPr>
              <w:t xml:space="preserve">2.4.1. </w:t>
            </w:r>
            <w:r w:rsidRPr="005C6EDB">
              <w:rPr>
                <w:sz w:val="20"/>
              </w:rPr>
              <w:t>Wdrożenie pozasądowych metod rozwiązywania sporów pomiędzy pasażerami a przewoźnikami</w:t>
            </w:r>
            <w:r>
              <w:rPr>
                <w:sz w:val="20"/>
              </w:rPr>
              <w:t>.</w:t>
            </w:r>
          </w:p>
        </w:tc>
      </w:tr>
      <w:tr w:rsidR="003E288C" w:rsidTr="00AD5D6A">
        <w:tc>
          <w:tcPr>
            <w:tcW w:w="821" w:type="pct"/>
            <w:vMerge w:val="restart"/>
            <w:shd w:val="clear" w:color="auto" w:fill="C6D9F1" w:themeFill="text2" w:themeFillTint="33"/>
            <w:textDirection w:val="btLr"/>
            <w:vAlign w:val="center"/>
          </w:tcPr>
          <w:p w:rsidR="003E288C" w:rsidRPr="00635B3B" w:rsidRDefault="003E288C" w:rsidP="00AD5D6A">
            <w:pPr>
              <w:ind w:left="113" w:right="113"/>
              <w:jc w:val="center"/>
              <w:rPr>
                <w:b/>
              </w:rPr>
            </w:pPr>
            <w:r w:rsidRPr="00635B3B">
              <w:rPr>
                <w:b/>
              </w:rPr>
              <w:t>3. Wysoka sprawność działania Urzędu</w:t>
            </w:r>
          </w:p>
        </w:tc>
        <w:tc>
          <w:tcPr>
            <w:tcW w:w="1831" w:type="pct"/>
          </w:tcPr>
          <w:p w:rsidR="003E288C" w:rsidRPr="00081EEC" w:rsidRDefault="003E288C" w:rsidP="00AD5D6A">
            <w:pPr>
              <w:rPr>
                <w:sz w:val="20"/>
              </w:rPr>
            </w:pPr>
            <w:r w:rsidRPr="00635B3B">
              <w:rPr>
                <w:sz w:val="20"/>
              </w:rPr>
              <w:t>3.1. Wysoka jakość usług Urzędu i efektywne procesy wewnętrzne</w:t>
            </w:r>
          </w:p>
        </w:tc>
        <w:tc>
          <w:tcPr>
            <w:tcW w:w="2347" w:type="pct"/>
          </w:tcPr>
          <w:p w:rsidR="003E288C" w:rsidRDefault="003E288C" w:rsidP="00AD5D6A">
            <w:pPr>
              <w:rPr>
                <w:sz w:val="20"/>
              </w:rPr>
            </w:pPr>
            <w:r>
              <w:rPr>
                <w:sz w:val="20"/>
              </w:rPr>
              <w:t xml:space="preserve">3.1.1. </w:t>
            </w:r>
            <w:r w:rsidRPr="00841950">
              <w:rPr>
                <w:sz w:val="20"/>
              </w:rPr>
              <w:t>Opracowanie i wdrożenie planów pracochłonności w poszczególnych komórkach organizacyjnych</w:t>
            </w:r>
            <w:r>
              <w:rPr>
                <w:sz w:val="20"/>
              </w:rPr>
              <w:t xml:space="preserve"> [w zakresie operacyjno-lotniczym, personelu lotniczego i techniki lotniczej].</w:t>
            </w:r>
          </w:p>
          <w:p w:rsidR="003E288C" w:rsidRPr="00081EEC" w:rsidRDefault="003E288C" w:rsidP="00AD5D6A">
            <w:pPr>
              <w:rPr>
                <w:sz w:val="20"/>
              </w:rPr>
            </w:pPr>
            <w:r>
              <w:rPr>
                <w:sz w:val="20"/>
              </w:rPr>
              <w:t xml:space="preserve">3.1.5. </w:t>
            </w:r>
            <w:r w:rsidRPr="00642FA1">
              <w:rPr>
                <w:sz w:val="20"/>
              </w:rPr>
              <w:t>Doskonalenie zasad współpracy i wymiany informacji pomiędzy komórkami organizacyjnymi Urzędu</w:t>
            </w:r>
            <w:r>
              <w:rPr>
                <w:sz w:val="20"/>
              </w:rPr>
              <w:t>.</w:t>
            </w:r>
          </w:p>
        </w:tc>
      </w:tr>
      <w:tr w:rsidR="003E288C" w:rsidTr="00AD5D6A">
        <w:tc>
          <w:tcPr>
            <w:tcW w:w="821" w:type="pct"/>
            <w:vMerge/>
            <w:shd w:val="clear" w:color="auto" w:fill="C6D9F1" w:themeFill="text2" w:themeFillTint="33"/>
            <w:textDirection w:val="btLr"/>
            <w:vAlign w:val="center"/>
          </w:tcPr>
          <w:p w:rsidR="003E288C" w:rsidRPr="00635B3B" w:rsidRDefault="003E288C" w:rsidP="00AD5D6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831" w:type="pct"/>
          </w:tcPr>
          <w:p w:rsidR="003E288C" w:rsidRPr="00635B3B" w:rsidRDefault="003E288C" w:rsidP="00AD5D6A">
            <w:pPr>
              <w:rPr>
                <w:sz w:val="20"/>
              </w:rPr>
            </w:pPr>
            <w:r>
              <w:rPr>
                <w:sz w:val="20"/>
              </w:rPr>
              <w:t>3.2. Wysoki poziom kompetencji pracowników Urzędu</w:t>
            </w:r>
          </w:p>
        </w:tc>
        <w:tc>
          <w:tcPr>
            <w:tcW w:w="2347" w:type="pct"/>
          </w:tcPr>
          <w:p w:rsidR="003E288C" w:rsidRDefault="003E288C" w:rsidP="00AD5D6A">
            <w:pPr>
              <w:rPr>
                <w:sz w:val="20"/>
              </w:rPr>
            </w:pPr>
            <w:r>
              <w:rPr>
                <w:sz w:val="20"/>
              </w:rPr>
              <w:t xml:space="preserve">3.2.1. </w:t>
            </w:r>
            <w:r w:rsidRPr="00C95171">
              <w:rPr>
                <w:sz w:val="20"/>
              </w:rPr>
              <w:t>Wdrożenie Programu Zarządzania Wiekiem</w:t>
            </w:r>
            <w:r>
              <w:rPr>
                <w:sz w:val="20"/>
              </w:rPr>
              <w:t>.</w:t>
            </w:r>
          </w:p>
          <w:p w:rsidR="003E288C" w:rsidRDefault="003E288C" w:rsidP="00AD5D6A">
            <w:pPr>
              <w:rPr>
                <w:sz w:val="20"/>
              </w:rPr>
            </w:pPr>
            <w:r>
              <w:rPr>
                <w:sz w:val="20"/>
              </w:rPr>
              <w:t>3.2.3. Wdrożenie Programu Sukcesji.</w:t>
            </w:r>
          </w:p>
        </w:tc>
      </w:tr>
      <w:tr w:rsidR="003E288C" w:rsidTr="00AD5D6A">
        <w:tc>
          <w:tcPr>
            <w:tcW w:w="821" w:type="pct"/>
            <w:vMerge/>
            <w:shd w:val="clear" w:color="auto" w:fill="C6D9F1" w:themeFill="text2" w:themeFillTint="33"/>
          </w:tcPr>
          <w:p w:rsidR="003E288C" w:rsidRPr="00081EEC" w:rsidRDefault="003E288C" w:rsidP="00AD5D6A">
            <w:pPr>
              <w:rPr>
                <w:sz w:val="20"/>
              </w:rPr>
            </w:pPr>
          </w:p>
        </w:tc>
        <w:tc>
          <w:tcPr>
            <w:tcW w:w="1831" w:type="pct"/>
            <w:vMerge w:val="restart"/>
          </w:tcPr>
          <w:p w:rsidR="003E288C" w:rsidRPr="00081EEC" w:rsidRDefault="003E288C" w:rsidP="00AD5D6A">
            <w:pPr>
              <w:rPr>
                <w:sz w:val="20"/>
              </w:rPr>
            </w:pPr>
            <w:r w:rsidRPr="00635B3B">
              <w:rPr>
                <w:sz w:val="20"/>
              </w:rPr>
              <w:t>3.3. Wysoka jakość działalności legislacyjnej Urzędu</w:t>
            </w:r>
          </w:p>
        </w:tc>
        <w:tc>
          <w:tcPr>
            <w:tcW w:w="2347" w:type="pct"/>
          </w:tcPr>
          <w:p w:rsidR="003E288C" w:rsidRPr="00081EEC" w:rsidRDefault="003E288C" w:rsidP="00AD5D6A">
            <w:pPr>
              <w:rPr>
                <w:sz w:val="20"/>
              </w:rPr>
            </w:pPr>
            <w:r>
              <w:rPr>
                <w:sz w:val="20"/>
              </w:rPr>
              <w:t xml:space="preserve">3.3.2. </w:t>
            </w:r>
            <w:r w:rsidRPr="00D34C34">
              <w:rPr>
                <w:sz w:val="20"/>
              </w:rPr>
              <w:t>Wdrożenie narzędzi informatycznych umożliwiających monitorowanie realizacji harmonogramów tworzenia projektów aktów prawnych</w:t>
            </w:r>
            <w:r>
              <w:rPr>
                <w:sz w:val="20"/>
              </w:rPr>
              <w:t>.</w:t>
            </w:r>
          </w:p>
        </w:tc>
      </w:tr>
      <w:tr w:rsidR="003E288C" w:rsidTr="00AD5D6A">
        <w:tc>
          <w:tcPr>
            <w:tcW w:w="821" w:type="pct"/>
            <w:vMerge/>
            <w:shd w:val="clear" w:color="auto" w:fill="C6D9F1" w:themeFill="text2" w:themeFillTint="33"/>
          </w:tcPr>
          <w:p w:rsidR="003E288C" w:rsidRPr="00081EEC" w:rsidRDefault="003E288C" w:rsidP="00AD5D6A">
            <w:pPr>
              <w:rPr>
                <w:sz w:val="20"/>
              </w:rPr>
            </w:pPr>
          </w:p>
        </w:tc>
        <w:tc>
          <w:tcPr>
            <w:tcW w:w="1831" w:type="pct"/>
            <w:vMerge/>
          </w:tcPr>
          <w:p w:rsidR="003E288C" w:rsidRPr="00635B3B" w:rsidRDefault="003E288C" w:rsidP="00AD5D6A">
            <w:pPr>
              <w:rPr>
                <w:sz w:val="20"/>
              </w:rPr>
            </w:pPr>
          </w:p>
        </w:tc>
        <w:tc>
          <w:tcPr>
            <w:tcW w:w="2347" w:type="pct"/>
          </w:tcPr>
          <w:p w:rsidR="003E288C" w:rsidRDefault="003E288C" w:rsidP="00AD5D6A">
            <w:pPr>
              <w:rPr>
                <w:sz w:val="20"/>
              </w:rPr>
            </w:pPr>
            <w:r w:rsidRPr="00D65AF8">
              <w:rPr>
                <w:sz w:val="20"/>
              </w:rPr>
              <w:t>3.3.5. Opracowanie ujednoliconej terminologii lotniczej.</w:t>
            </w:r>
          </w:p>
        </w:tc>
      </w:tr>
      <w:tr w:rsidR="003E288C" w:rsidTr="00AD5D6A">
        <w:tc>
          <w:tcPr>
            <w:tcW w:w="821" w:type="pct"/>
            <w:vMerge/>
            <w:shd w:val="clear" w:color="auto" w:fill="C6D9F1" w:themeFill="text2" w:themeFillTint="33"/>
          </w:tcPr>
          <w:p w:rsidR="003E288C" w:rsidRPr="00081EEC" w:rsidRDefault="003E288C" w:rsidP="00AD5D6A">
            <w:pPr>
              <w:rPr>
                <w:sz w:val="20"/>
              </w:rPr>
            </w:pPr>
          </w:p>
        </w:tc>
        <w:tc>
          <w:tcPr>
            <w:tcW w:w="1831" w:type="pct"/>
          </w:tcPr>
          <w:p w:rsidR="003E288C" w:rsidRPr="00635B3B" w:rsidRDefault="003E288C" w:rsidP="00AD5D6A">
            <w:pPr>
              <w:rPr>
                <w:sz w:val="20"/>
              </w:rPr>
            </w:pPr>
            <w:r>
              <w:rPr>
                <w:sz w:val="20"/>
              </w:rPr>
              <w:t>3.4. Skuteczne narzędzia Zintegrowanego Systemu Zarządzania</w:t>
            </w:r>
          </w:p>
        </w:tc>
        <w:tc>
          <w:tcPr>
            <w:tcW w:w="2347" w:type="pct"/>
          </w:tcPr>
          <w:p w:rsidR="003E288C" w:rsidRPr="00D65AF8" w:rsidRDefault="003E288C" w:rsidP="00AD5D6A">
            <w:pPr>
              <w:rPr>
                <w:sz w:val="20"/>
              </w:rPr>
            </w:pPr>
            <w:r>
              <w:rPr>
                <w:sz w:val="20"/>
              </w:rPr>
              <w:t xml:space="preserve">3.4.2. </w:t>
            </w:r>
            <w:r>
              <w:rPr>
                <w:rFonts w:ascii="Calibri" w:hAnsi="Calibri" w:cs="Calibri"/>
                <w:sz w:val="20"/>
                <w:szCs w:val="20"/>
              </w:rPr>
              <w:t>Doskonalenie systemu kontroli zarządczej</w:t>
            </w:r>
          </w:p>
        </w:tc>
      </w:tr>
      <w:tr w:rsidR="003E288C" w:rsidTr="00AD5D6A">
        <w:tc>
          <w:tcPr>
            <w:tcW w:w="821" w:type="pct"/>
            <w:vMerge/>
            <w:shd w:val="clear" w:color="auto" w:fill="C6D9F1" w:themeFill="text2" w:themeFillTint="33"/>
          </w:tcPr>
          <w:p w:rsidR="003E288C" w:rsidRPr="00081EEC" w:rsidRDefault="003E288C" w:rsidP="00AD5D6A">
            <w:pPr>
              <w:rPr>
                <w:sz w:val="20"/>
              </w:rPr>
            </w:pPr>
          </w:p>
        </w:tc>
        <w:tc>
          <w:tcPr>
            <w:tcW w:w="1831" w:type="pct"/>
          </w:tcPr>
          <w:p w:rsidR="003E288C" w:rsidRPr="00635B3B" w:rsidRDefault="003E288C" w:rsidP="00AD5D6A">
            <w:pPr>
              <w:rPr>
                <w:sz w:val="20"/>
              </w:rPr>
            </w:pPr>
            <w:r>
              <w:rPr>
                <w:sz w:val="20"/>
              </w:rPr>
              <w:t>3.5. Pozytywny wizerunek Urzędu</w:t>
            </w:r>
          </w:p>
        </w:tc>
        <w:tc>
          <w:tcPr>
            <w:tcW w:w="2347" w:type="pct"/>
            <w:tcBorders>
              <w:bottom w:val="single" w:sz="4" w:space="0" w:color="auto"/>
            </w:tcBorders>
          </w:tcPr>
          <w:p w:rsidR="003E288C" w:rsidRPr="00D65AF8" w:rsidRDefault="003E288C" w:rsidP="00AD5D6A">
            <w:pPr>
              <w:rPr>
                <w:sz w:val="20"/>
              </w:rPr>
            </w:pPr>
            <w:r>
              <w:rPr>
                <w:sz w:val="20"/>
              </w:rPr>
              <w:t xml:space="preserve">3.5.2. </w:t>
            </w:r>
            <w:r w:rsidRPr="005C6EDB">
              <w:rPr>
                <w:sz w:val="20"/>
              </w:rPr>
              <w:t>Opracowanie i wdrożenie nowej koncepcji praktyk studenckich</w:t>
            </w:r>
            <w:r>
              <w:rPr>
                <w:sz w:val="20"/>
              </w:rPr>
              <w:t>.</w:t>
            </w:r>
          </w:p>
        </w:tc>
      </w:tr>
    </w:tbl>
    <w:p w:rsidR="003E288C" w:rsidRDefault="003E288C" w:rsidP="003E288C">
      <w:pPr>
        <w:ind w:left="7088"/>
      </w:pPr>
    </w:p>
    <w:sectPr w:rsidR="003E288C" w:rsidSect="00BD6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827" w:rsidRDefault="00D96827" w:rsidP="0043371F">
      <w:pPr>
        <w:spacing w:line="240" w:lineRule="auto"/>
      </w:pPr>
      <w:r>
        <w:separator/>
      </w:r>
    </w:p>
  </w:endnote>
  <w:endnote w:type="continuationSeparator" w:id="0">
    <w:p w:rsidR="00D96827" w:rsidRDefault="00D96827" w:rsidP="004337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827" w:rsidRDefault="00D96827" w:rsidP="0043371F">
      <w:pPr>
        <w:spacing w:line="240" w:lineRule="auto"/>
      </w:pPr>
      <w:r>
        <w:separator/>
      </w:r>
    </w:p>
  </w:footnote>
  <w:footnote w:type="continuationSeparator" w:id="0">
    <w:p w:rsidR="00D96827" w:rsidRDefault="00D96827" w:rsidP="0043371F">
      <w:pPr>
        <w:spacing w:line="240" w:lineRule="auto"/>
      </w:pPr>
      <w:r>
        <w:continuationSeparator/>
      </w:r>
    </w:p>
  </w:footnote>
  <w:footnote w:id="1">
    <w:p w:rsidR="0043371F" w:rsidRDefault="0043371F" w:rsidP="004337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43371F">
        <w:t>W wyniku zmian dokonywanych w Planie na przestrzeni lat zrezygnowano z mierzenia trzech innych wskaźników celów strategicznych: Liczba przeprowadzonych pozaplanowych kontroli w podmiotach lotniczych do liczby kontroli planowanych, Stopień realizacji planu inicjatyw legislacyjnych oraz Liczba uzasadnionych skarg na działanie lub bezczynność Urzędu w stosunku do liczby wszystkich wydanych decyzji administracyjnych przez Prezesa Urzędu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1733"/>
    <w:multiLevelType w:val="hybridMultilevel"/>
    <w:tmpl w:val="7C22C2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F026C33"/>
    <w:multiLevelType w:val="hybridMultilevel"/>
    <w:tmpl w:val="4AF63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87641"/>
    <w:multiLevelType w:val="hybridMultilevel"/>
    <w:tmpl w:val="EA520CC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6C757B7"/>
    <w:multiLevelType w:val="hybridMultilevel"/>
    <w:tmpl w:val="BC30183A"/>
    <w:lvl w:ilvl="0" w:tplc="A88E0432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A27668"/>
    <w:multiLevelType w:val="hybridMultilevel"/>
    <w:tmpl w:val="ADBE04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3352DF7"/>
    <w:multiLevelType w:val="hybridMultilevel"/>
    <w:tmpl w:val="6936AB14"/>
    <w:lvl w:ilvl="0" w:tplc="9918BFF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7C4022E8">
      <w:start w:val="3"/>
      <w:numFmt w:val="upperLetter"/>
      <w:lvlText w:val="%2.1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756F21"/>
    <w:multiLevelType w:val="multilevel"/>
    <w:tmpl w:val="2982B4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199489C"/>
    <w:multiLevelType w:val="hybridMultilevel"/>
    <w:tmpl w:val="DC8EC336"/>
    <w:lvl w:ilvl="0" w:tplc="9CBA16AA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F91875"/>
    <w:multiLevelType w:val="hybridMultilevel"/>
    <w:tmpl w:val="F33E5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4E8"/>
    <w:rsid w:val="00184BB2"/>
    <w:rsid w:val="001947A0"/>
    <w:rsid w:val="00197CCB"/>
    <w:rsid w:val="00242686"/>
    <w:rsid w:val="00261752"/>
    <w:rsid w:val="0035549F"/>
    <w:rsid w:val="003B5D79"/>
    <w:rsid w:val="003E288C"/>
    <w:rsid w:val="0042145F"/>
    <w:rsid w:val="0043371F"/>
    <w:rsid w:val="004D04CB"/>
    <w:rsid w:val="004D11FF"/>
    <w:rsid w:val="00583553"/>
    <w:rsid w:val="006043A0"/>
    <w:rsid w:val="00663F44"/>
    <w:rsid w:val="006A6474"/>
    <w:rsid w:val="00732A8B"/>
    <w:rsid w:val="007B1528"/>
    <w:rsid w:val="007C1A18"/>
    <w:rsid w:val="007E73E7"/>
    <w:rsid w:val="008B14A2"/>
    <w:rsid w:val="008E4D0F"/>
    <w:rsid w:val="00913473"/>
    <w:rsid w:val="009A6801"/>
    <w:rsid w:val="00A72299"/>
    <w:rsid w:val="00AC32F0"/>
    <w:rsid w:val="00BD6DA8"/>
    <w:rsid w:val="00C140BB"/>
    <w:rsid w:val="00C41CF3"/>
    <w:rsid w:val="00C72756"/>
    <w:rsid w:val="00D96827"/>
    <w:rsid w:val="00DB44E8"/>
    <w:rsid w:val="00E04026"/>
    <w:rsid w:val="00E06B80"/>
    <w:rsid w:val="00F668E5"/>
    <w:rsid w:val="00F85BF9"/>
    <w:rsid w:val="00FC51C7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D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4E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3371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37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371F"/>
    <w:rPr>
      <w:vertAlign w:val="superscript"/>
    </w:rPr>
  </w:style>
  <w:style w:type="table" w:styleId="Tabela-Siatka">
    <w:name w:val="Table Grid"/>
    <w:basedOn w:val="Standardowy"/>
    <w:uiPriority w:val="59"/>
    <w:rsid w:val="003E28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32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2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2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2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2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2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6D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4E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43371F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337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371F"/>
    <w:rPr>
      <w:vertAlign w:val="superscript"/>
    </w:rPr>
  </w:style>
  <w:style w:type="table" w:styleId="Tabela-Siatka">
    <w:name w:val="Table Grid"/>
    <w:basedOn w:val="Standardowy"/>
    <w:uiPriority w:val="59"/>
    <w:rsid w:val="003E28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32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2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2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2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2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2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050A8-A4C3-494C-B138-008B148D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pkrolak</dc:creator>
  <cp:lastModifiedBy>Babiak Agnieszka</cp:lastModifiedBy>
  <cp:revision>2</cp:revision>
  <dcterms:created xsi:type="dcterms:W3CDTF">2020-10-08T08:50:00Z</dcterms:created>
  <dcterms:modified xsi:type="dcterms:W3CDTF">2020-10-08T08:50:00Z</dcterms:modified>
</cp:coreProperties>
</file>